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1A6" w:rsidRPr="00B23427" w:rsidRDefault="004C61A6" w:rsidP="00DB517C">
      <w:pPr>
        <w:ind w:right="-1"/>
        <w:jc w:val="right"/>
        <w:rPr>
          <w:b/>
        </w:rPr>
      </w:pPr>
      <w:r w:rsidRPr="00B23427">
        <w:rPr>
          <w:b/>
        </w:rPr>
        <w:t>“УТВЕРЖДАЮ”</w:t>
      </w:r>
    </w:p>
    <w:p w:rsidR="004C61A6" w:rsidRPr="00B23427" w:rsidRDefault="00880799" w:rsidP="00134A6A">
      <w:pPr>
        <w:ind w:right="-1"/>
        <w:jc w:val="right"/>
      </w:pPr>
      <w:r w:rsidRPr="00B23427">
        <w:t>Заместитель директора</w:t>
      </w:r>
    </w:p>
    <w:p w:rsidR="004C61A6" w:rsidRPr="00B23427" w:rsidRDefault="00880799" w:rsidP="00134A6A">
      <w:pPr>
        <w:ind w:right="-1"/>
        <w:jc w:val="right"/>
      </w:pPr>
      <w:r w:rsidRPr="00B23427">
        <w:t>по реализации и развитию услуг</w:t>
      </w:r>
    </w:p>
    <w:p w:rsidR="00134A6A" w:rsidRPr="00B23427" w:rsidRDefault="00134A6A" w:rsidP="00134A6A">
      <w:pPr>
        <w:ind w:right="-1"/>
        <w:jc w:val="right"/>
      </w:pPr>
      <w:r w:rsidRPr="00B23427">
        <w:t>филиала ПАО «МРСК Центра» -</w:t>
      </w:r>
    </w:p>
    <w:p w:rsidR="004C61A6" w:rsidRPr="00B23427" w:rsidRDefault="00880799" w:rsidP="00134A6A">
      <w:pPr>
        <w:ind w:right="-1"/>
        <w:jc w:val="right"/>
      </w:pPr>
      <w:r w:rsidRPr="00B23427">
        <w:t>«Смоленскэнерго»</w:t>
      </w:r>
    </w:p>
    <w:p w:rsidR="00134A6A" w:rsidRPr="00B23427" w:rsidRDefault="00134A6A" w:rsidP="00134A6A">
      <w:pPr>
        <w:ind w:right="-1"/>
        <w:jc w:val="right"/>
      </w:pPr>
    </w:p>
    <w:p w:rsidR="004C61A6" w:rsidRPr="00B23427" w:rsidRDefault="00134A6A" w:rsidP="00134A6A">
      <w:pPr>
        <w:ind w:right="-1"/>
        <w:jc w:val="right"/>
      </w:pPr>
      <w:r w:rsidRPr="00B23427">
        <w:t xml:space="preserve">______________ </w:t>
      </w:r>
      <w:r w:rsidR="00880799" w:rsidRPr="00B23427">
        <w:t>О.Ф. Бонадысев</w:t>
      </w:r>
    </w:p>
    <w:p w:rsidR="004C61A6" w:rsidRPr="00B23427" w:rsidRDefault="00134A6A" w:rsidP="00134A6A">
      <w:pPr>
        <w:ind w:right="-1"/>
        <w:jc w:val="right"/>
      </w:pPr>
      <w:r w:rsidRPr="00B23427">
        <w:t>«10»</w:t>
      </w:r>
      <w:r w:rsidR="004C61A6" w:rsidRPr="00B23427">
        <w:t xml:space="preserve"> </w:t>
      </w:r>
      <w:r w:rsidRPr="00B23427">
        <w:t xml:space="preserve">октября </w:t>
      </w:r>
      <w:r w:rsidR="004C61A6" w:rsidRPr="00B23427">
        <w:t>20</w:t>
      </w:r>
      <w:r w:rsidRPr="00B23427">
        <w:t>19</w:t>
      </w:r>
      <w:r w:rsidR="004C61A6" w:rsidRPr="00B23427">
        <w:t xml:space="preserve"> г.</w:t>
      </w:r>
    </w:p>
    <w:p w:rsidR="008745A3" w:rsidRPr="00B23427" w:rsidRDefault="008745A3" w:rsidP="00134A6A">
      <w:pPr>
        <w:ind w:right="-1"/>
        <w:jc w:val="right"/>
      </w:pPr>
    </w:p>
    <w:p w:rsidR="00212343" w:rsidRPr="00B23427" w:rsidRDefault="00212343" w:rsidP="00134A6A">
      <w:pPr>
        <w:ind w:left="703"/>
        <w:jc w:val="center"/>
        <w:rPr>
          <w:b/>
          <w:sz w:val="26"/>
          <w:szCs w:val="26"/>
        </w:rPr>
      </w:pPr>
      <w:r w:rsidRPr="00B23427">
        <w:rPr>
          <w:b/>
          <w:sz w:val="26"/>
          <w:szCs w:val="26"/>
        </w:rPr>
        <w:t>ТЕХНИЧЕСКО</w:t>
      </w:r>
      <w:r w:rsidR="00880799" w:rsidRPr="00B23427">
        <w:rPr>
          <w:b/>
          <w:sz w:val="26"/>
          <w:szCs w:val="26"/>
        </w:rPr>
        <w:t>Е</w:t>
      </w:r>
      <w:r w:rsidRPr="00B23427">
        <w:rPr>
          <w:b/>
          <w:sz w:val="26"/>
          <w:szCs w:val="26"/>
        </w:rPr>
        <w:t xml:space="preserve"> ЗАДАНИ</w:t>
      </w:r>
      <w:r w:rsidR="00880799" w:rsidRPr="00B23427">
        <w:rPr>
          <w:b/>
          <w:sz w:val="26"/>
          <w:szCs w:val="26"/>
        </w:rPr>
        <w:t>Е</w:t>
      </w:r>
    </w:p>
    <w:p w:rsidR="00AA2EBD" w:rsidRPr="00B23427" w:rsidRDefault="005C55B7" w:rsidP="00134A6A">
      <w:pPr>
        <w:ind w:left="705"/>
        <w:jc w:val="center"/>
        <w:rPr>
          <w:b/>
        </w:rPr>
      </w:pPr>
      <w:r w:rsidRPr="00B23427">
        <w:rPr>
          <w:b/>
        </w:rPr>
        <w:t xml:space="preserve">на поставку </w:t>
      </w:r>
      <w:r w:rsidR="00B94E87" w:rsidRPr="00B23427">
        <w:rPr>
          <w:b/>
        </w:rPr>
        <w:t>блоков измерения и защиты (Б</w:t>
      </w:r>
      <w:r w:rsidR="00432A61" w:rsidRPr="00B23427">
        <w:rPr>
          <w:b/>
        </w:rPr>
        <w:t>и</w:t>
      </w:r>
      <w:r w:rsidR="00B94E87" w:rsidRPr="00B23427">
        <w:rPr>
          <w:b/>
        </w:rPr>
        <w:t>З)</w:t>
      </w:r>
    </w:p>
    <w:p w:rsidR="006F6D57" w:rsidRPr="00B23427" w:rsidRDefault="006F6D57" w:rsidP="00134A6A">
      <w:pPr>
        <w:ind w:left="705"/>
        <w:jc w:val="center"/>
        <w:rPr>
          <w:b/>
        </w:rPr>
      </w:pPr>
      <w:r w:rsidRPr="00B23427">
        <w:rPr>
          <w:b/>
        </w:rPr>
        <w:t xml:space="preserve">Лот </w:t>
      </w:r>
      <w:r w:rsidR="00916E0D" w:rsidRPr="00B23427">
        <w:rPr>
          <w:b/>
        </w:rPr>
        <w:t>№</w:t>
      </w:r>
      <w:r w:rsidRPr="00B23427">
        <w:rPr>
          <w:b/>
        </w:rPr>
        <w:t>210</w:t>
      </w:r>
      <w:r w:rsidR="002429E9" w:rsidRPr="00B23427">
        <w:rPr>
          <w:b/>
        </w:rPr>
        <w:t>А</w:t>
      </w:r>
    </w:p>
    <w:p w:rsidR="006F6D57" w:rsidRPr="00B23427" w:rsidRDefault="002742A1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  <w:bCs/>
        </w:rPr>
      </w:pPr>
      <w:r w:rsidRPr="00B23427">
        <w:rPr>
          <w:b/>
          <w:bCs/>
        </w:rPr>
        <w:t>Общая часть</w:t>
      </w:r>
    </w:p>
    <w:p w:rsidR="00D409C9" w:rsidRPr="00B23427" w:rsidRDefault="00194620" w:rsidP="00134A6A">
      <w:pPr>
        <w:pStyle w:val="a3"/>
        <w:numPr>
          <w:ilvl w:val="1"/>
          <w:numId w:val="3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ПАО </w:t>
      </w:r>
      <w:r w:rsidR="002F47B0" w:rsidRPr="00B23427">
        <w:rPr>
          <w:sz w:val="24"/>
          <w:szCs w:val="24"/>
        </w:rPr>
        <w:t xml:space="preserve">«МРСК Центра» (Покупатель) </w:t>
      </w:r>
      <w:r w:rsidR="00E83912" w:rsidRPr="00B23427">
        <w:rPr>
          <w:sz w:val="24"/>
          <w:szCs w:val="24"/>
        </w:rPr>
        <w:t xml:space="preserve">производит закупку </w:t>
      </w:r>
      <w:r w:rsidR="00AA2EBD" w:rsidRPr="00B23427">
        <w:rPr>
          <w:sz w:val="24"/>
          <w:szCs w:val="24"/>
        </w:rPr>
        <w:t>блоков измерения и защиты (</w:t>
      </w:r>
      <w:r w:rsidR="00461151" w:rsidRPr="00B23427">
        <w:rPr>
          <w:sz w:val="24"/>
          <w:szCs w:val="24"/>
        </w:rPr>
        <w:t>БиЗ</w:t>
      </w:r>
      <w:r w:rsidR="00AA2EBD" w:rsidRPr="00B23427">
        <w:rPr>
          <w:sz w:val="24"/>
          <w:szCs w:val="24"/>
        </w:rPr>
        <w:t>)</w:t>
      </w:r>
      <w:r w:rsidR="00461151" w:rsidRPr="00B23427">
        <w:rPr>
          <w:sz w:val="24"/>
          <w:szCs w:val="24"/>
        </w:rPr>
        <w:t xml:space="preserve"> </w:t>
      </w:r>
      <w:r w:rsidR="006F6D57" w:rsidRPr="00B23427">
        <w:rPr>
          <w:sz w:val="24"/>
          <w:szCs w:val="24"/>
        </w:rPr>
        <w:t xml:space="preserve">для </w:t>
      </w:r>
      <w:r w:rsidR="00703627" w:rsidRPr="00B23427">
        <w:rPr>
          <w:sz w:val="24"/>
          <w:szCs w:val="24"/>
        </w:rPr>
        <w:t xml:space="preserve">выполнения работ по </w:t>
      </w:r>
      <w:r w:rsidR="00D807CD" w:rsidRPr="00B23427">
        <w:rPr>
          <w:sz w:val="24"/>
          <w:szCs w:val="24"/>
        </w:rPr>
        <w:t xml:space="preserve">организации учета электроэнергии сторонним </w:t>
      </w:r>
      <w:r w:rsidR="001065BD" w:rsidRPr="00B23427">
        <w:rPr>
          <w:sz w:val="24"/>
          <w:szCs w:val="24"/>
        </w:rPr>
        <w:t>потребителям</w:t>
      </w:r>
      <w:r w:rsidR="00D807CD" w:rsidRPr="00B23427">
        <w:rPr>
          <w:sz w:val="24"/>
          <w:szCs w:val="24"/>
        </w:rPr>
        <w:t xml:space="preserve"> </w:t>
      </w:r>
      <w:r w:rsidR="00703627" w:rsidRPr="00B23427">
        <w:rPr>
          <w:sz w:val="24"/>
          <w:szCs w:val="24"/>
        </w:rPr>
        <w:t xml:space="preserve">в рамках </w:t>
      </w:r>
      <w:r w:rsidR="001065BD" w:rsidRPr="00B23427">
        <w:rPr>
          <w:sz w:val="24"/>
          <w:szCs w:val="24"/>
        </w:rPr>
        <w:t xml:space="preserve">оказания дополнительных </w:t>
      </w:r>
      <w:r w:rsidR="0029301B" w:rsidRPr="00B23427">
        <w:rPr>
          <w:sz w:val="24"/>
          <w:szCs w:val="24"/>
        </w:rPr>
        <w:t>услуг</w:t>
      </w:r>
      <w:r w:rsidR="00D409C9" w:rsidRPr="00B23427">
        <w:rPr>
          <w:sz w:val="24"/>
          <w:szCs w:val="24"/>
        </w:rPr>
        <w:t xml:space="preserve">. </w:t>
      </w:r>
    </w:p>
    <w:p w:rsidR="007C2861" w:rsidRPr="00B23427" w:rsidRDefault="007C2861" w:rsidP="00134A6A">
      <w:pPr>
        <w:pStyle w:val="a3"/>
        <w:numPr>
          <w:ilvl w:val="1"/>
          <w:numId w:val="3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Закупка производится на основании </w:t>
      </w:r>
      <w:r w:rsidR="00134A6A" w:rsidRPr="00B23427">
        <w:rPr>
          <w:sz w:val="24"/>
          <w:szCs w:val="24"/>
        </w:rPr>
        <w:t xml:space="preserve">Плана </w:t>
      </w:r>
      <w:r w:rsidRPr="00B23427">
        <w:rPr>
          <w:sz w:val="24"/>
          <w:szCs w:val="24"/>
        </w:rPr>
        <w:t xml:space="preserve">закупок ПАО «МРСК Центра» </w:t>
      </w:r>
      <w:r w:rsidR="00134A6A" w:rsidRPr="00B23427">
        <w:rPr>
          <w:sz w:val="24"/>
          <w:szCs w:val="24"/>
        </w:rPr>
        <w:t xml:space="preserve">на </w:t>
      </w:r>
      <w:r w:rsidRPr="00B23427">
        <w:rPr>
          <w:sz w:val="24"/>
          <w:szCs w:val="24"/>
        </w:rPr>
        <w:t>20</w:t>
      </w:r>
      <w:r w:rsidR="00134A6A" w:rsidRPr="00B23427">
        <w:rPr>
          <w:sz w:val="24"/>
          <w:szCs w:val="24"/>
        </w:rPr>
        <w:t>19</w:t>
      </w:r>
      <w:r w:rsidRPr="00B23427">
        <w:rPr>
          <w:sz w:val="24"/>
          <w:szCs w:val="24"/>
        </w:rPr>
        <w:t xml:space="preserve"> год</w:t>
      </w:r>
      <w:r w:rsidR="00134A6A" w:rsidRPr="00B23427">
        <w:rPr>
          <w:sz w:val="24"/>
          <w:szCs w:val="24"/>
        </w:rPr>
        <w:t>, под потребность 2020 года</w:t>
      </w:r>
      <w:r w:rsidRPr="00B23427">
        <w:rPr>
          <w:sz w:val="24"/>
          <w:szCs w:val="24"/>
        </w:rPr>
        <w:t>.</w:t>
      </w:r>
    </w:p>
    <w:p w:rsidR="006F6D57" w:rsidRPr="00B23427" w:rsidRDefault="006F6D57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  <w:bCs/>
        </w:rPr>
      </w:pPr>
      <w:r w:rsidRPr="00B23427">
        <w:rPr>
          <w:b/>
          <w:bCs/>
        </w:rPr>
        <w:t xml:space="preserve">Предмет </w:t>
      </w:r>
      <w:r w:rsidR="00134A6A" w:rsidRPr="00B23427">
        <w:rPr>
          <w:b/>
          <w:bCs/>
        </w:rPr>
        <w:t>закупки</w:t>
      </w:r>
    </w:p>
    <w:p w:rsidR="006F6D57" w:rsidRPr="00B23427" w:rsidRDefault="006F6D57" w:rsidP="00134A6A">
      <w:pPr>
        <w:ind w:firstLine="709"/>
        <w:jc w:val="both"/>
      </w:pPr>
      <w:r w:rsidRPr="00B23427">
        <w:t xml:space="preserve">Поставщик обеспечивает поставку </w:t>
      </w:r>
      <w:r w:rsidR="00B94E87" w:rsidRPr="00B23427">
        <w:t>Б</w:t>
      </w:r>
      <w:r w:rsidR="00461151" w:rsidRPr="00B23427">
        <w:t>и</w:t>
      </w:r>
      <w:r w:rsidR="00B94E87" w:rsidRPr="00B23427">
        <w:t xml:space="preserve">З </w:t>
      </w:r>
      <w:r w:rsidRPr="00B23427">
        <w:t xml:space="preserve">для </w:t>
      </w:r>
      <w:r w:rsidR="003A4F6D" w:rsidRPr="00B23427">
        <w:t>организации учёта электроэнергии</w:t>
      </w:r>
      <w:r w:rsidRPr="00B23427">
        <w:t xml:space="preserve"> в объемах и </w:t>
      </w:r>
      <w:r w:rsidR="00AA2EBD" w:rsidRPr="00B23427">
        <w:t xml:space="preserve">в </w:t>
      </w:r>
      <w:r w:rsidRPr="00B23427">
        <w:t>сроки</w:t>
      </w:r>
      <w:r w:rsidR="005C1B9C" w:rsidRPr="00B23427">
        <w:t>,</w:t>
      </w:r>
      <w:r w:rsidRPr="00B23427">
        <w:t xml:space="preserve"> установленные данным ТЗ:</w:t>
      </w:r>
    </w:p>
    <w:p w:rsidR="006F6D57" w:rsidRPr="00B23427" w:rsidRDefault="00AF4A76" w:rsidP="00134A6A">
      <w:pPr>
        <w:ind w:firstLine="709"/>
        <w:jc w:val="right"/>
        <w:rPr>
          <w:lang w:val="en-US"/>
        </w:rPr>
      </w:pPr>
      <w:r w:rsidRPr="00B23427">
        <w:t xml:space="preserve">Таблица </w:t>
      </w:r>
      <w:r w:rsidR="00134A6A" w:rsidRPr="00B23427">
        <w:t>№</w:t>
      </w:r>
      <w:r w:rsidRPr="00B23427"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2"/>
        <w:gridCol w:w="3807"/>
        <w:gridCol w:w="1125"/>
        <w:gridCol w:w="1977"/>
        <w:gridCol w:w="2366"/>
      </w:tblGrid>
      <w:tr w:rsidR="00314F2B" w:rsidRPr="00B23427" w:rsidTr="00652D0D">
        <w:trPr>
          <w:trHeight w:val="2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EBD" w:rsidRPr="00B23427" w:rsidRDefault="00314F2B" w:rsidP="00134A6A">
            <w:pPr>
              <w:jc w:val="center"/>
              <w:rPr>
                <w:b/>
                <w:color w:val="000000"/>
              </w:rPr>
            </w:pPr>
            <w:r w:rsidRPr="00B23427">
              <w:rPr>
                <w:b/>
                <w:color w:val="000000"/>
                <w:lang w:val="en-US"/>
              </w:rPr>
              <w:t>№ п</w:t>
            </w:r>
            <w:r w:rsidRPr="00B23427">
              <w:rPr>
                <w:b/>
                <w:color w:val="000000"/>
              </w:rPr>
              <w:t>/</w:t>
            </w:r>
            <w:r w:rsidR="00134A6A" w:rsidRPr="00B23427">
              <w:rPr>
                <w:b/>
                <w:color w:val="000000"/>
                <w:lang w:val="en-US"/>
              </w:rPr>
              <w:t>п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EBD" w:rsidRPr="00B23427" w:rsidRDefault="00314F2B" w:rsidP="00134A6A">
            <w:pPr>
              <w:jc w:val="center"/>
              <w:rPr>
                <w:b/>
                <w:color w:val="000000"/>
              </w:rPr>
            </w:pPr>
            <w:r w:rsidRPr="00B23427">
              <w:rPr>
                <w:b/>
                <w:color w:val="000000"/>
              </w:rPr>
              <w:t>Наименование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2EBD" w:rsidRPr="00B23427" w:rsidRDefault="00314F2B" w:rsidP="00134A6A">
            <w:pPr>
              <w:jc w:val="center"/>
              <w:rPr>
                <w:b/>
                <w:color w:val="000000"/>
              </w:rPr>
            </w:pPr>
            <w:r w:rsidRPr="00B23427">
              <w:rPr>
                <w:b/>
                <w:color w:val="000000"/>
              </w:rPr>
              <w:t>Ед. изм.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EBD" w:rsidRPr="00B23427" w:rsidRDefault="00314F2B" w:rsidP="00134A6A">
            <w:pPr>
              <w:jc w:val="center"/>
              <w:rPr>
                <w:b/>
                <w:color w:val="000000"/>
              </w:rPr>
            </w:pPr>
            <w:r w:rsidRPr="00B23427">
              <w:rPr>
                <w:b/>
                <w:color w:val="000000"/>
              </w:rPr>
              <w:t>Итого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B23427" w:rsidRDefault="00E91380" w:rsidP="00134A6A">
            <w:pPr>
              <w:jc w:val="center"/>
              <w:rPr>
                <w:b/>
                <w:color w:val="000000"/>
              </w:rPr>
            </w:pPr>
            <w:r w:rsidRPr="00B23427">
              <w:rPr>
                <w:b/>
                <w:color w:val="000000"/>
              </w:rPr>
              <w:t xml:space="preserve">Срок </w:t>
            </w:r>
            <w:r w:rsidR="00314F2B" w:rsidRPr="00B23427">
              <w:rPr>
                <w:b/>
                <w:color w:val="000000"/>
              </w:rPr>
              <w:t>поставки</w:t>
            </w:r>
            <w:r w:rsidR="00AA2EBD" w:rsidRPr="00B23427">
              <w:rPr>
                <w:b/>
                <w:color w:val="000000"/>
              </w:rPr>
              <w:t>*</w:t>
            </w:r>
          </w:p>
        </w:tc>
      </w:tr>
      <w:tr w:rsidR="00314F2B" w:rsidRPr="00B23427" w:rsidTr="00652D0D">
        <w:trPr>
          <w:trHeight w:val="2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F2B" w:rsidRPr="00B23427" w:rsidRDefault="00A679E9" w:rsidP="00134A6A">
            <w:pPr>
              <w:rPr>
                <w:color w:val="000000"/>
              </w:rPr>
            </w:pPr>
            <w:r w:rsidRPr="00B23427">
              <w:rPr>
                <w:color w:val="000000"/>
              </w:rPr>
              <w:t>1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004" w:rsidRPr="00B23427" w:rsidRDefault="00A679E9" w:rsidP="00134A6A">
            <w:r w:rsidRPr="00B23427">
              <w:t>БиЗ 1ф. без электросчетчика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4F2B" w:rsidRPr="00B23427" w:rsidRDefault="00461151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шт.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B23427" w:rsidRDefault="007F4C8B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80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B23427" w:rsidRDefault="00C621EC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45</w:t>
            </w:r>
          </w:p>
        </w:tc>
      </w:tr>
      <w:tr w:rsidR="00314F2B" w:rsidRPr="00B23427" w:rsidTr="00652D0D">
        <w:trPr>
          <w:trHeight w:val="2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F2B" w:rsidRPr="00B23427" w:rsidRDefault="00A679E9" w:rsidP="00134A6A">
            <w:pPr>
              <w:rPr>
                <w:color w:val="000000"/>
              </w:rPr>
            </w:pPr>
            <w:r w:rsidRPr="00B23427">
              <w:rPr>
                <w:color w:val="000000"/>
              </w:rPr>
              <w:t>2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F2B" w:rsidRPr="00B23427" w:rsidRDefault="00A679E9" w:rsidP="00134A6A">
            <w:pPr>
              <w:rPr>
                <w:color w:val="000000"/>
                <w:lang w:eastAsia="en-US"/>
              </w:rPr>
            </w:pPr>
            <w:r w:rsidRPr="00B23427">
              <w:t>БиЗ 3ф. без электросчетчика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4F2B" w:rsidRPr="00B23427" w:rsidRDefault="00461151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шт.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B23427" w:rsidRDefault="008E435B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106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B23427" w:rsidRDefault="00C621EC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45</w:t>
            </w:r>
          </w:p>
        </w:tc>
      </w:tr>
      <w:tr w:rsidR="00AA2EBD" w:rsidRPr="00B23427" w:rsidTr="00652D0D">
        <w:trPr>
          <w:trHeight w:val="2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EBD" w:rsidRPr="00B23427" w:rsidRDefault="00A679E9" w:rsidP="00134A6A">
            <w:pPr>
              <w:rPr>
                <w:color w:val="000000"/>
              </w:rPr>
            </w:pPr>
            <w:r w:rsidRPr="00B23427">
              <w:rPr>
                <w:color w:val="000000"/>
              </w:rPr>
              <w:t>3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EBD" w:rsidRPr="00B23427" w:rsidRDefault="00A679E9" w:rsidP="00134A6A">
            <w:pPr>
              <w:rPr>
                <w:color w:val="000000"/>
                <w:lang w:eastAsia="en-US"/>
              </w:rPr>
            </w:pPr>
            <w:r w:rsidRPr="00B23427">
              <w:t>БиЗ 1ф. с электросчетчиком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EBD" w:rsidRPr="00B23427" w:rsidRDefault="00AA2EBD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шт.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EBD" w:rsidRPr="00B23427" w:rsidRDefault="007F4C8B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388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EBD" w:rsidRPr="00B23427" w:rsidRDefault="00C621EC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45</w:t>
            </w:r>
          </w:p>
        </w:tc>
      </w:tr>
    </w:tbl>
    <w:p w:rsidR="00652D0D" w:rsidRPr="00B23427" w:rsidRDefault="00652D0D" w:rsidP="00652D0D">
      <w:pPr>
        <w:ind w:firstLine="709"/>
        <w:rPr>
          <w:sz w:val="18"/>
        </w:rPr>
      </w:pPr>
      <w:r w:rsidRPr="00B23427">
        <w:rPr>
          <w:sz w:val="22"/>
        </w:rPr>
        <w:t>* – календарных дней с момента подачи заявки.</w:t>
      </w:r>
    </w:p>
    <w:p w:rsidR="00AA2EBD" w:rsidRPr="00B23427" w:rsidRDefault="00AA2EBD" w:rsidP="00134A6A">
      <w:pPr>
        <w:tabs>
          <w:tab w:val="left" w:pos="1440"/>
        </w:tabs>
      </w:pPr>
      <w:bookmarkStart w:id="0" w:name="_GoBack"/>
      <w:bookmarkEnd w:id="0"/>
    </w:p>
    <w:p w:rsidR="006F6D57" w:rsidRPr="00B23427" w:rsidRDefault="004A1A1B" w:rsidP="00134A6A">
      <w:pPr>
        <w:ind w:firstLine="709"/>
        <w:jc w:val="both"/>
      </w:pPr>
      <w:r w:rsidRPr="00B23427">
        <w:t>Доставка</w:t>
      </w:r>
      <w:r w:rsidR="006F6D57" w:rsidRPr="00B23427">
        <w:t xml:space="preserve"> </w:t>
      </w:r>
      <w:r w:rsidR="00461151" w:rsidRPr="00B23427">
        <w:t xml:space="preserve">БиЗ </w:t>
      </w:r>
      <w:r w:rsidR="006F6D57" w:rsidRPr="00B23427">
        <w:t xml:space="preserve">производится на склад получателя – филиала </w:t>
      </w:r>
      <w:r w:rsidR="00861846" w:rsidRPr="00B23427">
        <w:t>ПАО</w:t>
      </w:r>
      <w:r w:rsidR="006F6D57" w:rsidRPr="00B23427">
        <w:t xml:space="preserve"> «МРСК </w:t>
      </w:r>
      <w:r w:rsidR="00C621EC" w:rsidRPr="00B23427">
        <w:t>Центра</w:t>
      </w:r>
      <w:r w:rsidR="006F6D57" w:rsidRPr="00B23427">
        <w:t>»</w:t>
      </w:r>
      <w:r w:rsidR="00E068FE" w:rsidRPr="00B23427">
        <w:t xml:space="preserve"> </w:t>
      </w:r>
      <w:r w:rsidR="006F6D57" w:rsidRPr="00B23427">
        <w:t>-</w:t>
      </w:r>
      <w:r w:rsidR="00E068FE" w:rsidRPr="00B23427">
        <w:t xml:space="preserve"> </w:t>
      </w:r>
      <w:r w:rsidR="006F6D57" w:rsidRPr="00B23427">
        <w:t>«</w:t>
      </w:r>
      <w:r w:rsidR="00C621EC" w:rsidRPr="00B23427">
        <w:t>Смоленск</w:t>
      </w:r>
      <w:r w:rsidR="003A4F6D" w:rsidRPr="00B23427">
        <w:t>энерго</w:t>
      </w:r>
      <w:r w:rsidR="006F6D57" w:rsidRPr="00B23427">
        <w:t>»</w:t>
      </w:r>
      <w:r w:rsidRPr="00B23427">
        <w:t xml:space="preserve"> за счет Поставщика (стоимость входит в цену предложения), расположенный</w:t>
      </w:r>
      <w:r w:rsidR="006F6D57" w:rsidRPr="00B23427">
        <w:t>:</w:t>
      </w:r>
    </w:p>
    <w:p w:rsidR="006F6D57" w:rsidRPr="00B23427" w:rsidRDefault="00AF4A76" w:rsidP="00134A6A">
      <w:pPr>
        <w:ind w:firstLine="709"/>
        <w:jc w:val="right"/>
        <w:rPr>
          <w:lang w:val="en-US"/>
        </w:rPr>
      </w:pPr>
      <w:r w:rsidRPr="00B23427">
        <w:t xml:space="preserve">Таблица </w:t>
      </w:r>
      <w:r w:rsidR="00134A6A" w:rsidRPr="00B23427">
        <w:t>№</w:t>
      </w:r>
      <w:r w:rsidRPr="00B23427"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2457"/>
        <w:gridCol w:w="6297"/>
      </w:tblGrid>
      <w:tr w:rsidR="00314F2B" w:rsidRPr="00B23427" w:rsidTr="00134A6A">
        <w:tc>
          <w:tcPr>
            <w:tcW w:w="682" w:type="pct"/>
            <w:vAlign w:val="center"/>
          </w:tcPr>
          <w:p w:rsidR="00314F2B" w:rsidRPr="00B23427" w:rsidRDefault="00314F2B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B23427">
              <w:rPr>
                <w:b/>
                <w:sz w:val="24"/>
                <w:szCs w:val="24"/>
              </w:rPr>
              <w:t>Город</w:t>
            </w:r>
          </w:p>
        </w:tc>
        <w:tc>
          <w:tcPr>
            <w:tcW w:w="1212" w:type="pct"/>
            <w:vAlign w:val="center"/>
          </w:tcPr>
          <w:p w:rsidR="00314F2B" w:rsidRPr="00B23427" w:rsidRDefault="00314F2B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B23427">
              <w:rPr>
                <w:b/>
                <w:sz w:val="24"/>
                <w:szCs w:val="24"/>
              </w:rPr>
              <w:t>Вид транспорта</w:t>
            </w:r>
          </w:p>
        </w:tc>
        <w:tc>
          <w:tcPr>
            <w:tcW w:w="3106" w:type="pct"/>
            <w:vAlign w:val="center"/>
          </w:tcPr>
          <w:p w:rsidR="00314F2B" w:rsidRPr="00B23427" w:rsidRDefault="00314F2B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B23427">
              <w:rPr>
                <w:b/>
                <w:sz w:val="24"/>
                <w:szCs w:val="24"/>
              </w:rPr>
              <w:t>Точка поставки</w:t>
            </w:r>
          </w:p>
        </w:tc>
      </w:tr>
      <w:tr w:rsidR="00314F2B" w:rsidRPr="00B23427" w:rsidTr="00134A6A">
        <w:tc>
          <w:tcPr>
            <w:tcW w:w="682" w:type="pct"/>
            <w:vAlign w:val="center"/>
          </w:tcPr>
          <w:p w:rsidR="00314F2B" w:rsidRPr="00B23427" w:rsidRDefault="00C621EC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B23427">
              <w:rPr>
                <w:sz w:val="24"/>
                <w:szCs w:val="24"/>
              </w:rPr>
              <w:t>Смоленск</w:t>
            </w:r>
          </w:p>
        </w:tc>
        <w:tc>
          <w:tcPr>
            <w:tcW w:w="1212" w:type="pct"/>
            <w:vAlign w:val="center"/>
          </w:tcPr>
          <w:p w:rsidR="00314F2B" w:rsidRPr="00B23427" w:rsidRDefault="00314F2B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B23427">
              <w:rPr>
                <w:sz w:val="24"/>
                <w:szCs w:val="24"/>
              </w:rPr>
              <w:t>Авто</w:t>
            </w:r>
          </w:p>
        </w:tc>
        <w:tc>
          <w:tcPr>
            <w:tcW w:w="3106" w:type="pct"/>
            <w:vAlign w:val="center"/>
          </w:tcPr>
          <w:p w:rsidR="00134A6A" w:rsidRPr="00B23427" w:rsidRDefault="00C621EC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B23427">
              <w:rPr>
                <w:sz w:val="24"/>
                <w:szCs w:val="24"/>
              </w:rPr>
              <w:t>Центральна</w:t>
            </w:r>
            <w:r w:rsidR="00134A6A" w:rsidRPr="00B23427">
              <w:rPr>
                <w:sz w:val="24"/>
                <w:szCs w:val="24"/>
              </w:rPr>
              <w:t>я площадка центрального склада,</w:t>
            </w:r>
          </w:p>
          <w:p w:rsidR="00314F2B" w:rsidRPr="00B23427" w:rsidRDefault="00C621EC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B23427">
              <w:rPr>
                <w:sz w:val="24"/>
                <w:szCs w:val="24"/>
              </w:rPr>
              <w:t>г. Смоленск, ул. Индустриальная, д.5</w:t>
            </w:r>
          </w:p>
        </w:tc>
      </w:tr>
    </w:tbl>
    <w:p w:rsidR="006F6D57" w:rsidRPr="00B23427" w:rsidRDefault="006F6D57" w:rsidP="00134A6A">
      <w:pPr>
        <w:jc w:val="both"/>
      </w:pPr>
    </w:p>
    <w:p w:rsidR="004A1A1B" w:rsidRPr="00B23427" w:rsidRDefault="004A1A1B" w:rsidP="00134A6A">
      <w:pPr>
        <w:ind w:left="142" w:firstLine="567"/>
        <w:jc w:val="both"/>
      </w:pPr>
      <w:r w:rsidRPr="00B23427">
        <w:t xml:space="preserve">Способ и условия транспортировки БиЗ должны исключать возможность его повреждения или порчи во время перевозки. </w:t>
      </w:r>
    </w:p>
    <w:p w:rsidR="005C1B9C" w:rsidRPr="00B23427" w:rsidRDefault="006F6D57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  <w:bCs/>
        </w:rPr>
      </w:pPr>
      <w:r w:rsidRPr="00B23427">
        <w:rPr>
          <w:b/>
          <w:bCs/>
        </w:rPr>
        <w:t xml:space="preserve">Технические требования к </w:t>
      </w:r>
      <w:r w:rsidR="00461151" w:rsidRPr="00B23427">
        <w:rPr>
          <w:b/>
          <w:bCs/>
        </w:rPr>
        <w:t>БиЗ</w:t>
      </w:r>
    </w:p>
    <w:p w:rsidR="0037772D" w:rsidRPr="00B23427" w:rsidRDefault="00327726" w:rsidP="00134A6A">
      <w:pPr>
        <w:pStyle w:val="a3"/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B23427">
        <w:rPr>
          <w:b/>
          <w:bCs/>
          <w:sz w:val="24"/>
          <w:szCs w:val="24"/>
        </w:rPr>
        <w:t xml:space="preserve">Требования к 1-фазному БиЗ </w:t>
      </w:r>
      <w:r w:rsidR="000E43B4" w:rsidRPr="00B23427">
        <w:rPr>
          <w:b/>
          <w:bCs/>
          <w:sz w:val="24"/>
          <w:szCs w:val="24"/>
        </w:rPr>
        <w:t>без электросчётчика</w:t>
      </w:r>
      <w:r w:rsidR="003A4F6D" w:rsidRPr="00B23427">
        <w:rPr>
          <w:b/>
          <w:bCs/>
          <w:sz w:val="24"/>
          <w:szCs w:val="24"/>
        </w:rPr>
        <w:t xml:space="preserve"> и его комплектности</w:t>
      </w:r>
      <w:r w:rsidR="00134A6A" w:rsidRPr="00B23427">
        <w:rPr>
          <w:b/>
          <w:bCs/>
          <w:sz w:val="24"/>
          <w:szCs w:val="24"/>
        </w:rPr>
        <w:t>.</w:t>
      </w:r>
    </w:p>
    <w:p w:rsidR="00AF4A76" w:rsidRPr="00B23427" w:rsidRDefault="00AF4A76" w:rsidP="00134A6A">
      <w:pPr>
        <w:pStyle w:val="a3"/>
        <w:tabs>
          <w:tab w:val="left" w:pos="-4536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В состав </w:t>
      </w:r>
      <w:r w:rsidR="00461151" w:rsidRPr="00B23427">
        <w:rPr>
          <w:sz w:val="24"/>
          <w:szCs w:val="24"/>
        </w:rPr>
        <w:t>БиЗ</w:t>
      </w:r>
      <w:r w:rsidRPr="00B23427">
        <w:rPr>
          <w:sz w:val="24"/>
          <w:szCs w:val="24"/>
        </w:rPr>
        <w:t xml:space="preserve"> входят следующие элементы:</w:t>
      </w:r>
    </w:p>
    <w:p w:rsidR="000E43B4" w:rsidRPr="00B23427" w:rsidRDefault="000E43B4" w:rsidP="00134A6A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шкаф пластиковый;</w:t>
      </w:r>
    </w:p>
    <w:p w:rsidR="000E43B4" w:rsidRPr="00B23427" w:rsidRDefault="000E43B4" w:rsidP="00134A6A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вводной коммутационный аппарат (размыкатель нагрузки), установленный до электросчетчика (электросчетчик в комплект не входит);</w:t>
      </w:r>
    </w:p>
    <w:p w:rsidR="000E43B4" w:rsidRPr="00B23427" w:rsidRDefault="000E43B4" w:rsidP="00134A6A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защитный коммутационный аппарат (автоматический выключатель), установленный после электросчетчика (электросчетчик в комплект не входит);</w:t>
      </w:r>
    </w:p>
    <w:p w:rsidR="000E43B4" w:rsidRPr="00B23427" w:rsidRDefault="000E43B4" w:rsidP="00134A6A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элементы внутренней коммутации (соединительные провода, шинки, </w:t>
      </w:r>
      <w:r w:rsidRPr="00B23427">
        <w:rPr>
          <w:sz w:val="24"/>
          <w:szCs w:val="24"/>
          <w:lang w:val="en-US"/>
        </w:rPr>
        <w:t>DIN</w:t>
      </w:r>
      <w:r w:rsidRPr="00B23427">
        <w:rPr>
          <w:sz w:val="24"/>
          <w:szCs w:val="24"/>
        </w:rPr>
        <w:t xml:space="preserve"> рейка</w:t>
      </w:r>
      <w:r w:rsidR="00134A6A" w:rsidRPr="00B23427">
        <w:rPr>
          <w:sz w:val="24"/>
          <w:szCs w:val="24"/>
        </w:rPr>
        <w:t xml:space="preserve"> и т.п.).</w:t>
      </w:r>
    </w:p>
    <w:p w:rsidR="000E43B4" w:rsidRPr="00B23427" w:rsidRDefault="000E43B4" w:rsidP="00134A6A">
      <w:pPr>
        <w:tabs>
          <w:tab w:val="left" w:pos="993"/>
        </w:tabs>
        <w:ind w:firstLine="709"/>
        <w:contextualSpacing/>
        <w:jc w:val="both"/>
      </w:pPr>
      <w:r w:rsidRPr="00B23427">
        <w:lastRenderedPageBreak/>
        <w:t xml:space="preserve">БиЗ должны поставляться в сборе, то есть все элементы должны быть установлены внутри шкафа, необходимая проводка от коммутационных аппаратов должна иметь достаточную длину для последующего подключения электросчетчиков всех типоразмеров и их обслуживания (длина свободных концов провода не менее 120 мм, при применении многожильного провода концы должны быть </w:t>
      </w:r>
      <w:r w:rsidR="008272B5" w:rsidRPr="00B23427">
        <w:t xml:space="preserve">облужены или </w:t>
      </w:r>
      <w:r w:rsidRPr="00B23427">
        <w:t>обжаты наконечниками).</w:t>
      </w:r>
    </w:p>
    <w:p w:rsidR="00AF4A76" w:rsidRPr="00B23427" w:rsidRDefault="000E43B4" w:rsidP="00134A6A">
      <w:pPr>
        <w:pStyle w:val="a3"/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23427">
        <w:rPr>
          <w:sz w:val="24"/>
          <w:szCs w:val="24"/>
        </w:rPr>
        <w:t xml:space="preserve">Внутренняя компоновка БиЗ должна обеспечивать возможность монтажа однофазных электросчетчиков </w:t>
      </w:r>
      <w:r w:rsidRPr="00B23427">
        <w:rPr>
          <w:color w:val="000000"/>
          <w:sz w:val="24"/>
          <w:szCs w:val="24"/>
        </w:rPr>
        <w:t xml:space="preserve">как щитового так и </w:t>
      </w:r>
      <w:r w:rsidRPr="00B23427">
        <w:rPr>
          <w:color w:val="000000"/>
          <w:sz w:val="24"/>
          <w:szCs w:val="24"/>
          <w:lang w:val="en-US"/>
        </w:rPr>
        <w:t>DIN</w:t>
      </w:r>
      <w:r w:rsidRPr="00B23427">
        <w:rPr>
          <w:color w:val="000000"/>
          <w:sz w:val="24"/>
          <w:szCs w:val="24"/>
        </w:rPr>
        <w:t>-реечного исполнения. БиЗ должен иметь приливы под стандартные крепежные размеры для обеспечения возможности установки электросчетчиков на 3 винта (самореза)</w:t>
      </w:r>
      <w:r w:rsidR="00AB38A7" w:rsidRPr="00B23427">
        <w:rPr>
          <w:color w:val="000000"/>
          <w:sz w:val="24"/>
          <w:szCs w:val="24"/>
        </w:rPr>
        <w:t>.</w:t>
      </w:r>
    </w:p>
    <w:p w:rsidR="009F67E2" w:rsidRPr="00B23427" w:rsidRDefault="009F67E2" w:rsidP="00134A6A">
      <w:pPr>
        <w:pStyle w:val="a3"/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</w:p>
    <w:p w:rsidR="00AF4A76" w:rsidRPr="00B23427" w:rsidRDefault="00AF4A76" w:rsidP="00D7508D">
      <w:pPr>
        <w:pStyle w:val="a3"/>
        <w:ind w:left="0"/>
        <w:contextualSpacing w:val="0"/>
        <w:jc w:val="right"/>
        <w:rPr>
          <w:sz w:val="24"/>
          <w:szCs w:val="24"/>
          <w:lang w:val="en-US"/>
        </w:rPr>
      </w:pPr>
      <w:r w:rsidRPr="00B23427">
        <w:rPr>
          <w:sz w:val="24"/>
          <w:szCs w:val="24"/>
        </w:rPr>
        <w:t xml:space="preserve">Таблица </w:t>
      </w:r>
      <w:r w:rsidR="00FF57FE" w:rsidRPr="00B23427">
        <w:rPr>
          <w:sz w:val="24"/>
          <w:szCs w:val="24"/>
        </w:rPr>
        <w:t>№</w:t>
      </w:r>
      <w:r w:rsidR="008D5E9E" w:rsidRPr="00B23427">
        <w:rPr>
          <w:sz w:val="24"/>
          <w:szCs w:val="24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5"/>
        <w:gridCol w:w="5332"/>
      </w:tblGrid>
      <w:tr w:rsidR="00D7508D" w:rsidRPr="00B23427" w:rsidTr="00D7508D">
        <w:trPr>
          <w:trHeight w:val="20"/>
          <w:tblHeader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Наименование параметра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Технические требования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Наименование и тип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Блок измерения и защиты (БиЗ) для установки 1-фазных электросчетчиков с размыкателем нагрузки и автоматическим выключателем.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Назначение и область применения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Размещение однофазных приборов учета электроэнергии на границе балансовой принадлежности с подключением к однофазной сети.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Наличие сертификации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ГОСТ или ТУ на блок измерения защиты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Технические данные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а) Номинальное напряжение, В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230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б) Номинальный ток,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25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в) Автоматический выключатель,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г) Размыкатель,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д) Номинальный ток размыкателя,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32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е) Номинальный ток автоматического выключателя,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25</w:t>
            </w:r>
          </w:p>
        </w:tc>
      </w:tr>
      <w:tr w:rsidR="00D7508D" w:rsidRPr="00B23427" w:rsidTr="00D7508D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Общие требования: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а) Конструктивное исполнение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  <w:lang w:val="en-US"/>
              </w:rPr>
              <w:t>I</w:t>
            </w:r>
            <w:r w:rsidRPr="00B23427">
              <w:rPr>
                <w:color w:val="000000"/>
              </w:rPr>
              <w:t xml:space="preserve">Р54.У1 по </w:t>
            </w:r>
            <w:r w:rsidR="00EC1317" w:rsidRPr="00B23427">
              <w:t>ГОСТ 14254-2015 (IEC 60529:2013)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vMerge w:val="restar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б) Материал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БиЗ должен быть выполнен из не поддерживающего горения SAN-пластика. Крышка корпуса должна быть выполнена из не поддерживающего горения SAN-пластика прозрачного или цвета корпуса БиЗ. В последнем случае должно быть предусмотрено прозрачное окно, обеспечивающее возможность визуального контроля учетных данных.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vMerge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В течение всего срока службы корпус и крышка БиЗ не должны терять своих оптических (прозрачность) и механических свойств.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в) Ограничение доступа внутрь БиЗ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Наличие на крышке пломбировочных устройств, в том числе с отдельной пломбируемой крышкой для доступа к рукоятке защитного автомата.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г) Необходимость шефмонтажа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Нет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д) Срок службы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 менее 20 лет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е) Диапазон рабочих температур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От - 40 до + 55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2"/>
              </w:rPr>
              <w:t>ж) Наличие заводской документации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6"/>
              </w:rPr>
              <w:t>Паспорт на БиЗ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t>з) Особенности конструкции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t xml:space="preserve">Конструктивное исполнение БиЗ должно предусматривать возможность его крепления на </w:t>
            </w:r>
            <w:r w:rsidRPr="00B23427">
              <w:rPr>
                <w:color w:val="000000"/>
                <w:spacing w:val="2"/>
              </w:rPr>
              <w:lastRenderedPageBreak/>
              <w:t>опору (квадратного, круглого сечения) с помощью стальной ленты, а также на стену.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lastRenderedPageBreak/>
              <w:t>Соответствие требованиям безопасности: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Сертификат безопасности</w:t>
            </w:r>
          </w:p>
        </w:tc>
      </w:tr>
    </w:tbl>
    <w:p w:rsidR="0037772D" w:rsidRPr="00B23427" w:rsidRDefault="0037772D" w:rsidP="00D7508D">
      <w:pPr>
        <w:shd w:val="clear" w:color="auto" w:fill="FFFFFF"/>
        <w:jc w:val="both"/>
      </w:pPr>
    </w:p>
    <w:p w:rsidR="0037772D" w:rsidRPr="00B23427" w:rsidRDefault="003D4F72" w:rsidP="00134A6A">
      <w:pPr>
        <w:pStyle w:val="a3"/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B23427">
        <w:rPr>
          <w:b/>
          <w:bCs/>
          <w:sz w:val="24"/>
          <w:szCs w:val="24"/>
        </w:rPr>
        <w:t xml:space="preserve">Требования к </w:t>
      </w:r>
      <w:r w:rsidR="00E91380" w:rsidRPr="00B23427">
        <w:rPr>
          <w:b/>
          <w:bCs/>
          <w:sz w:val="24"/>
          <w:szCs w:val="24"/>
        </w:rPr>
        <w:t>3</w:t>
      </w:r>
      <w:r w:rsidR="00AB38A7" w:rsidRPr="00B23427">
        <w:rPr>
          <w:b/>
          <w:bCs/>
          <w:sz w:val="24"/>
          <w:szCs w:val="24"/>
        </w:rPr>
        <w:t xml:space="preserve">-фазному БиЗ без </w:t>
      </w:r>
      <w:r w:rsidR="00461151" w:rsidRPr="00B23427">
        <w:rPr>
          <w:b/>
          <w:bCs/>
          <w:sz w:val="24"/>
          <w:szCs w:val="24"/>
        </w:rPr>
        <w:t>электро</w:t>
      </w:r>
      <w:r w:rsidR="00AB38A7" w:rsidRPr="00B23427">
        <w:rPr>
          <w:b/>
          <w:bCs/>
          <w:sz w:val="24"/>
          <w:szCs w:val="24"/>
        </w:rPr>
        <w:t>счетчика</w:t>
      </w:r>
      <w:r w:rsidRPr="00B23427">
        <w:rPr>
          <w:b/>
          <w:bCs/>
          <w:sz w:val="24"/>
          <w:szCs w:val="24"/>
        </w:rPr>
        <w:t xml:space="preserve"> и его комплектности.</w:t>
      </w:r>
    </w:p>
    <w:p w:rsidR="003D4F72" w:rsidRPr="00B23427" w:rsidRDefault="003D4F72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В </w:t>
      </w:r>
      <w:r w:rsidRPr="00B23427">
        <w:rPr>
          <w:color w:val="000000"/>
          <w:sz w:val="24"/>
          <w:szCs w:val="24"/>
        </w:rPr>
        <w:t>состав</w:t>
      </w:r>
      <w:r w:rsidRPr="00B23427">
        <w:rPr>
          <w:sz w:val="24"/>
          <w:szCs w:val="24"/>
        </w:rPr>
        <w:t xml:space="preserve"> </w:t>
      </w:r>
      <w:r w:rsidR="00B94E87" w:rsidRPr="00B23427">
        <w:rPr>
          <w:sz w:val="24"/>
          <w:szCs w:val="24"/>
        </w:rPr>
        <w:t>БиЗ</w:t>
      </w:r>
      <w:r w:rsidRPr="00B23427">
        <w:rPr>
          <w:sz w:val="24"/>
          <w:szCs w:val="24"/>
        </w:rPr>
        <w:t xml:space="preserve"> входят следующие элементы:</w:t>
      </w:r>
    </w:p>
    <w:p w:rsidR="00861846" w:rsidRPr="00B23427" w:rsidRDefault="00861846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шкаф пластиковый;</w:t>
      </w:r>
    </w:p>
    <w:p w:rsidR="00AB38A7" w:rsidRPr="00B23427" w:rsidRDefault="00AB38A7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вводной коммутационный аппарат (размыкатель нагрузки), установленный до </w:t>
      </w:r>
      <w:r w:rsidR="00B94E87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>счетчика (</w:t>
      </w:r>
      <w:r w:rsidR="00B94E87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>счетчик в комплект БиЗ не входит);</w:t>
      </w:r>
    </w:p>
    <w:p w:rsidR="00861846" w:rsidRPr="00B23427" w:rsidRDefault="00861846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защитный коммутационный аппарат (автоматический выключатель), установленный </w:t>
      </w:r>
      <w:r w:rsidR="00043158" w:rsidRPr="00B23427">
        <w:rPr>
          <w:sz w:val="24"/>
          <w:szCs w:val="24"/>
        </w:rPr>
        <w:t xml:space="preserve">после </w:t>
      </w:r>
      <w:r w:rsidR="00B94E87" w:rsidRPr="00B23427">
        <w:rPr>
          <w:sz w:val="24"/>
          <w:szCs w:val="24"/>
        </w:rPr>
        <w:t>электро</w:t>
      </w:r>
      <w:r w:rsidR="00043158" w:rsidRPr="00B23427">
        <w:rPr>
          <w:sz w:val="24"/>
          <w:szCs w:val="24"/>
        </w:rPr>
        <w:t>счетчика (</w:t>
      </w:r>
      <w:r w:rsidR="00B94E87" w:rsidRPr="00B23427">
        <w:rPr>
          <w:sz w:val="24"/>
          <w:szCs w:val="24"/>
        </w:rPr>
        <w:t>электро</w:t>
      </w:r>
      <w:r w:rsidR="00043158" w:rsidRPr="00B23427">
        <w:rPr>
          <w:sz w:val="24"/>
          <w:szCs w:val="24"/>
        </w:rPr>
        <w:t>счетчик в комплект БиЗ не входит)</w:t>
      </w:r>
      <w:r w:rsidR="00B94E87" w:rsidRPr="00B23427">
        <w:rPr>
          <w:sz w:val="24"/>
          <w:szCs w:val="24"/>
        </w:rPr>
        <w:t>;</w:t>
      </w:r>
    </w:p>
    <w:p w:rsidR="00861846" w:rsidRPr="00B23427" w:rsidRDefault="00861846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элементы внутренней коммутации (соединительные провода, шинки</w:t>
      </w:r>
      <w:r w:rsidR="004D0815" w:rsidRPr="00B23427">
        <w:rPr>
          <w:sz w:val="24"/>
          <w:szCs w:val="24"/>
        </w:rPr>
        <w:t>, DIN рейка</w:t>
      </w:r>
      <w:r w:rsidR="00E60CB3" w:rsidRPr="00B23427">
        <w:rPr>
          <w:sz w:val="24"/>
          <w:szCs w:val="24"/>
        </w:rPr>
        <w:t xml:space="preserve"> и т.п.).</w:t>
      </w:r>
    </w:p>
    <w:p w:rsidR="00043158" w:rsidRPr="00B23427" w:rsidRDefault="00043158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БиЗ должны поставляться в сборе, то есть все элементы должны быть установлены внутри шкафа, необходимая проводка от коммутационных аппаратов должна иметь достаточную длину для последующего подключения </w:t>
      </w:r>
      <w:r w:rsidR="00461151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 xml:space="preserve">счетчиков всех типоразмеров и их обслуживания (длина свободных концов провода не менее 120 мм, при применении многожильного провода концы должны быть </w:t>
      </w:r>
      <w:r w:rsidR="00D278B5" w:rsidRPr="00B23427">
        <w:rPr>
          <w:sz w:val="24"/>
          <w:szCs w:val="24"/>
        </w:rPr>
        <w:t xml:space="preserve">облужены или </w:t>
      </w:r>
      <w:r w:rsidRPr="00B23427">
        <w:rPr>
          <w:sz w:val="24"/>
          <w:szCs w:val="24"/>
        </w:rPr>
        <w:t>обжаты наконечниками).</w:t>
      </w:r>
    </w:p>
    <w:p w:rsidR="00D62223" w:rsidRPr="00B23427" w:rsidRDefault="00043158" w:rsidP="00134A6A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Внутренняя компоновка БиЗ должна обеспечивать возможность монтажа </w:t>
      </w:r>
      <w:r w:rsidR="007C2861" w:rsidRPr="00B23427">
        <w:rPr>
          <w:sz w:val="24"/>
          <w:szCs w:val="24"/>
        </w:rPr>
        <w:t xml:space="preserve">трехфазных </w:t>
      </w:r>
      <w:r w:rsidR="00461151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>счетчиков наиболее широко распространенных производителей: ООО</w:t>
      </w:r>
      <w:r w:rsidR="00E60CB3" w:rsidRPr="00B23427">
        <w:rPr>
          <w:sz w:val="24"/>
          <w:szCs w:val="24"/>
        </w:rPr>
        <w:t> </w:t>
      </w:r>
      <w:r w:rsidRPr="00B23427">
        <w:rPr>
          <w:sz w:val="24"/>
          <w:szCs w:val="24"/>
        </w:rPr>
        <w:t>«НПК</w:t>
      </w:r>
      <w:r w:rsidR="00E60CB3" w:rsidRPr="00B23427">
        <w:rPr>
          <w:sz w:val="24"/>
          <w:szCs w:val="24"/>
        </w:rPr>
        <w:t> </w:t>
      </w:r>
      <w:r w:rsidRPr="00B23427">
        <w:rPr>
          <w:sz w:val="24"/>
          <w:szCs w:val="24"/>
        </w:rPr>
        <w:t>«Инкотекс», ФГУП «Государственный Рязанский приборный завод», АО</w:t>
      </w:r>
      <w:r w:rsidR="00E60CB3" w:rsidRPr="00B23427">
        <w:rPr>
          <w:sz w:val="24"/>
          <w:szCs w:val="24"/>
        </w:rPr>
        <w:t> «</w:t>
      </w:r>
      <w:r w:rsidRPr="00B23427">
        <w:rPr>
          <w:sz w:val="24"/>
          <w:szCs w:val="24"/>
        </w:rPr>
        <w:t>ННПО</w:t>
      </w:r>
      <w:r w:rsidR="00E60CB3" w:rsidRPr="00B23427">
        <w:rPr>
          <w:sz w:val="24"/>
          <w:szCs w:val="24"/>
        </w:rPr>
        <w:t> </w:t>
      </w:r>
      <w:r w:rsidRPr="00B23427">
        <w:rPr>
          <w:sz w:val="24"/>
          <w:szCs w:val="24"/>
        </w:rPr>
        <w:t>имени М.В. Фрунзе</w:t>
      </w:r>
      <w:r w:rsidR="00E60CB3" w:rsidRPr="00B23427">
        <w:rPr>
          <w:sz w:val="24"/>
          <w:szCs w:val="24"/>
        </w:rPr>
        <w:t>»</w:t>
      </w:r>
      <w:r w:rsidRPr="00B23427">
        <w:rPr>
          <w:sz w:val="24"/>
          <w:szCs w:val="24"/>
        </w:rPr>
        <w:t>, АО «Электротехнические заводы «Энергомера», ЗАО</w:t>
      </w:r>
      <w:r w:rsidR="00E60CB3" w:rsidRPr="00B23427">
        <w:rPr>
          <w:sz w:val="24"/>
          <w:szCs w:val="24"/>
        </w:rPr>
        <w:t> </w:t>
      </w:r>
      <w:r w:rsidRPr="00B23427">
        <w:rPr>
          <w:sz w:val="24"/>
          <w:szCs w:val="24"/>
        </w:rPr>
        <w:t xml:space="preserve">«Московский завод электроизмерительных приборов» и т.п., как щитового так и DIN-реечного исполнения. </w:t>
      </w:r>
      <w:r w:rsidR="00461151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 xml:space="preserve">должен иметь приливы под стандартные крепежные размеры для обеспечения возможности установки </w:t>
      </w:r>
      <w:r w:rsidR="00461151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>счетчиков на 3 винта (самореза).</w:t>
      </w:r>
    </w:p>
    <w:p w:rsidR="008E435B" w:rsidRPr="00B23427" w:rsidRDefault="008E435B" w:rsidP="00134A6A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:rsidR="003D4F72" w:rsidRPr="00B23427" w:rsidRDefault="003D4F72" w:rsidP="00134A6A">
      <w:pPr>
        <w:pStyle w:val="a3"/>
        <w:tabs>
          <w:tab w:val="left" w:pos="993"/>
        </w:tabs>
        <w:ind w:left="0" w:firstLine="709"/>
        <w:jc w:val="right"/>
        <w:rPr>
          <w:bCs/>
          <w:sz w:val="24"/>
          <w:szCs w:val="24"/>
        </w:rPr>
      </w:pPr>
      <w:r w:rsidRPr="00B23427">
        <w:rPr>
          <w:sz w:val="24"/>
          <w:szCs w:val="24"/>
        </w:rPr>
        <w:t xml:space="preserve">Таблица </w:t>
      </w:r>
      <w:r w:rsidR="00E60CB3" w:rsidRPr="00B23427">
        <w:rPr>
          <w:sz w:val="24"/>
          <w:szCs w:val="24"/>
        </w:rPr>
        <w:t>№</w:t>
      </w:r>
      <w:r w:rsidR="00861846" w:rsidRPr="00B23427">
        <w:rPr>
          <w:sz w:val="24"/>
          <w:szCs w:val="24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5"/>
        <w:gridCol w:w="5332"/>
      </w:tblGrid>
      <w:tr w:rsidR="009F67E2" w:rsidRPr="00B23427" w:rsidTr="009F67E2">
        <w:trPr>
          <w:trHeight w:val="20"/>
          <w:tblHeader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Наименование параметра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Технические требования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Наименование и тип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Блок измерения и защиты (БиЗ) для установки 3-фазных электросчетчиков с размыкателем нагрузки и автоматическим выключателем.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Назначение и область применения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Размещение трехфазных приборов учета электроэнергии на границе балансовой принадлежности с подключением к трехфазной сети.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Наличие сертификации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ГОСТ или ТУ на блок измерения защиты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Технические данные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 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а) Номинальное напряжение, В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230/380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б) Номинальный ток,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100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в) Автоматический выключатель,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г) Размыкатель,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д) Номинальный ток размыкателя,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100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е) Номинальный ток автоматического выключателя,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100</w:t>
            </w:r>
          </w:p>
        </w:tc>
      </w:tr>
      <w:tr w:rsidR="009F67E2" w:rsidRPr="00B23427" w:rsidTr="009F67E2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</w:rPr>
              <w:t>Общие требования: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а) Конструктивное исполнение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  <w:lang w:val="en-US"/>
              </w:rPr>
              <w:t>I</w:t>
            </w:r>
            <w:r w:rsidRPr="00B23427">
              <w:rPr>
                <w:color w:val="000000"/>
              </w:rPr>
              <w:t xml:space="preserve">Р54.У1 по </w:t>
            </w:r>
            <w:r w:rsidR="00EC1317" w:rsidRPr="00B23427">
              <w:t>ГОСТ 14254-2015 (IEC 60529:2013)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vMerge w:val="restar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б) Материал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 xml:space="preserve">Корпус БиЗ должен быть выполнен из не поддерживающего горения SAN-пластика. Крышка корпуса должна быть выполнена из не </w:t>
            </w:r>
            <w:r w:rsidRPr="00B23427">
              <w:rPr>
                <w:color w:val="000000"/>
              </w:rPr>
              <w:lastRenderedPageBreak/>
              <w:t>поддерживающего горения SAN-пластика прозрачного или цвета корпуса БиЗ. В последнем случае должно быть предусмотрено прозрачное окно, обеспечивающее возможность визуального контроля учетных данных.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vMerge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В течение всего срока службы корпус и крышка БиЗ не должны терять своих оптических (прозрачность) и механических свойств.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в) Ограничение доступа внутрь ящика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Наличие на крышке пломбировочных устройств, в том числе с отдельной пломбируемой крышкой для доступа к рукоятке защитного автомата.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г) Необходимость шефмонтажа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Нет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д) Срок службы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 менее 20 лет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е) Диапазон рабочих температур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От - 40 до + 55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2"/>
              </w:rPr>
              <w:t>ж) Наличие заводской документации.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6"/>
              </w:rPr>
              <w:t>Паспорт на БиЗ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t>з) Особенности конструкции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t>Конструктивное исполнение БиЗ должно предусматривать возможность его крепления на опору (квадратного, круглого сечения) с помощью стальной ленты, а также на стену.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Соответствие требованиям безопасности: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Сертификат безопасности</w:t>
            </w:r>
          </w:p>
        </w:tc>
      </w:tr>
    </w:tbl>
    <w:p w:rsidR="00C23D40" w:rsidRPr="00B23427" w:rsidRDefault="00C23D40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:rsidR="007E43A5" w:rsidRPr="00B23427" w:rsidRDefault="007E43A5" w:rsidP="00134A6A">
      <w:pPr>
        <w:pStyle w:val="a3"/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B23427">
        <w:rPr>
          <w:b/>
          <w:bCs/>
          <w:sz w:val="24"/>
          <w:szCs w:val="24"/>
        </w:rPr>
        <w:t xml:space="preserve">Требования к </w:t>
      </w:r>
      <w:r w:rsidR="0061564D" w:rsidRPr="00B23427">
        <w:rPr>
          <w:b/>
          <w:bCs/>
          <w:sz w:val="24"/>
          <w:szCs w:val="24"/>
        </w:rPr>
        <w:t>1-фазному БиЗ с электросчётчиком и его комплектности.</w:t>
      </w:r>
    </w:p>
    <w:p w:rsidR="0061564D" w:rsidRPr="00B23427" w:rsidRDefault="0061564D" w:rsidP="00134A6A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В состав БиЗ входят следующие элементы:</w:t>
      </w:r>
    </w:p>
    <w:p w:rsidR="0061564D" w:rsidRPr="00B23427" w:rsidRDefault="0061564D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шкаф пластиковый;</w:t>
      </w:r>
    </w:p>
    <w:p w:rsidR="0061564D" w:rsidRPr="00B23427" w:rsidRDefault="0061564D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вводной коммутационный аппарат (размыкатель нагрузки), установленный до электросчетчика;</w:t>
      </w:r>
    </w:p>
    <w:p w:rsidR="0061564D" w:rsidRPr="00B23427" w:rsidRDefault="0061564D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защитный коммутационный аппарат (автоматический выключатель), установленный после электросчетчика;</w:t>
      </w:r>
    </w:p>
    <w:p w:rsidR="0061564D" w:rsidRPr="00B23427" w:rsidRDefault="0061564D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элементы внутренней коммутации (соединительные провода, шинки, DIN рейка и т.п.);</w:t>
      </w:r>
    </w:p>
    <w:p w:rsidR="007C2861" w:rsidRPr="00B23427" w:rsidRDefault="007C2861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счетчик электроэнергии 1-фазный.</w:t>
      </w:r>
    </w:p>
    <w:p w:rsidR="007B24DA" w:rsidRPr="00B23427" w:rsidRDefault="007B24DA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БиЗ должны поставляться в сборе с электросчетчиком, все элементы должны быть установлены внутри шкафа, необходимая проводка от коммутационных аппаратов </w:t>
      </w:r>
      <w:r w:rsidR="007C2861" w:rsidRPr="00B23427">
        <w:rPr>
          <w:sz w:val="24"/>
          <w:szCs w:val="24"/>
        </w:rPr>
        <w:t xml:space="preserve">до счетчика </w:t>
      </w:r>
      <w:r w:rsidRPr="00B23427">
        <w:rPr>
          <w:sz w:val="24"/>
          <w:szCs w:val="24"/>
        </w:rPr>
        <w:t xml:space="preserve">должна иметь достаточную длину для обслуживания </w:t>
      </w:r>
      <w:r w:rsidR="007C2861" w:rsidRPr="00B23427">
        <w:rPr>
          <w:sz w:val="24"/>
          <w:szCs w:val="24"/>
        </w:rPr>
        <w:t xml:space="preserve">электросчетчика </w:t>
      </w:r>
      <w:r w:rsidRPr="00B23427">
        <w:rPr>
          <w:sz w:val="24"/>
          <w:szCs w:val="24"/>
        </w:rPr>
        <w:t>(длина свободных концов провода не менее 120 мм, при применении многожильного провода концы должны быть обжаты наконечниками).</w:t>
      </w:r>
    </w:p>
    <w:p w:rsidR="007E43A5" w:rsidRPr="00B23427" w:rsidRDefault="007E43A5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Однофазные счетчики электрической энергии должны иметь два измерительных </w:t>
      </w:r>
      <w:r w:rsidR="007C2861" w:rsidRPr="00B23427">
        <w:rPr>
          <w:sz w:val="24"/>
          <w:szCs w:val="24"/>
        </w:rPr>
        <w:t>элемента (шунты в цепи фазы и в цепи нуля)</w:t>
      </w:r>
      <w:r w:rsidRPr="00B23427">
        <w:rPr>
          <w:sz w:val="24"/>
          <w:szCs w:val="24"/>
        </w:rPr>
        <w:t xml:space="preserve"> (вести расчет по наибольшему из двух токов, при изменении фазировки в цепи нагрузки вести расчет только в сторону увеличения показаний) и иметь стандартный телеметрический импульсный выход.</w:t>
      </w:r>
      <w:r w:rsidR="007C2861" w:rsidRPr="00B23427">
        <w:rPr>
          <w:sz w:val="24"/>
          <w:szCs w:val="24"/>
        </w:rPr>
        <w:t xml:space="preserve"> В качестве счетного механизма счетчика должен применяться ЖКИ-дисплей, возможно применение механического отсчетного устройства со стопором обратного хода и магнитным экраном.</w:t>
      </w:r>
    </w:p>
    <w:p w:rsidR="007E43A5" w:rsidRPr="00B23427" w:rsidRDefault="007E43A5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Конструкция корпуса </w:t>
      </w:r>
      <w:r w:rsidR="007B24DA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 xml:space="preserve">счетчика должна обеспечивать возможность крепления на щиток, в случае предложения </w:t>
      </w:r>
      <w:r w:rsidR="007B24DA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 xml:space="preserve">счетчиков с креплением на DIN-рейку, возможность крепления на щиток должна обеспечиваться переходной пластиной, поставляемой в комплекте с </w:t>
      </w:r>
      <w:r w:rsidR="007B24DA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>счетчиком.</w:t>
      </w:r>
    </w:p>
    <w:p w:rsidR="007E43A5" w:rsidRPr="00B23427" w:rsidRDefault="007E43A5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Технические характеристики и параметры предлагаемого к поставке оборудования должны соответствовать приведенным в таблице (численные значения быть не хуже указанных):</w:t>
      </w:r>
    </w:p>
    <w:p w:rsidR="0061564D" w:rsidRPr="00B23427" w:rsidRDefault="0061564D" w:rsidP="00134A6A">
      <w:pPr>
        <w:pStyle w:val="a3"/>
        <w:tabs>
          <w:tab w:val="left" w:pos="993"/>
        </w:tabs>
        <w:jc w:val="right"/>
        <w:rPr>
          <w:bCs/>
          <w:sz w:val="24"/>
          <w:szCs w:val="24"/>
        </w:rPr>
      </w:pPr>
      <w:r w:rsidRPr="00B23427">
        <w:rPr>
          <w:sz w:val="24"/>
          <w:szCs w:val="24"/>
        </w:rPr>
        <w:t xml:space="preserve">Таблица </w:t>
      </w:r>
      <w:r w:rsidR="00E60CB3" w:rsidRPr="00B23427">
        <w:rPr>
          <w:sz w:val="24"/>
          <w:szCs w:val="24"/>
        </w:rPr>
        <w:t>№</w:t>
      </w:r>
      <w:r w:rsidR="007B24DA" w:rsidRPr="00B23427">
        <w:rPr>
          <w:sz w:val="24"/>
          <w:szCs w:val="24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5"/>
        <w:gridCol w:w="5332"/>
      </w:tblGrid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Наименование параметра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Технические требования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lastRenderedPageBreak/>
              <w:t>Наименование и тип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Блок измерения и защиты (БиЗ) для установки 1-фазных электросчетчиков с размыкателем нагрузки и автоматическим выключателем.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Назначение и область применения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Размещение однофазных приборов учета электроэнергии на границе балансовой принадлежности с подключением к однофазной сети.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Наличие сертификации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ГОСТ или ТУ на блок измерения защиты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Технические данные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а) Номинальное напряжение, В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230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б) Номинальный ток,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25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в) Автоматический выключатель,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г) Размыкатель,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д) Номинальный ток размыкателя,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32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е) Номинальный ток автоматического выключателя,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25</w:t>
            </w:r>
          </w:p>
        </w:tc>
      </w:tr>
      <w:tr w:rsidR="009F67E2" w:rsidRPr="00B23427" w:rsidTr="009F67E2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</w:rPr>
              <w:t>Общие требования: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а) Конструктивное исполнение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  <w:lang w:val="en-US"/>
              </w:rPr>
              <w:t>I</w:t>
            </w:r>
            <w:r w:rsidRPr="00B23427">
              <w:rPr>
                <w:color w:val="000000"/>
              </w:rPr>
              <w:t xml:space="preserve">Р54.У1 по </w:t>
            </w:r>
            <w:r w:rsidR="00EC1317" w:rsidRPr="00B23427">
              <w:t>ГОСТ 14254-2015 (IEC 60529:2013)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vMerge w:val="restar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б) Материал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БиЗ должен быть выполнен из не поддерживающего горения SAN-пластика. Крышка корпуса должна быть выполнена из не поддерживающего горения SAN-пластика прозрачного или цвета корпуса БиЗ. В последнем случае должно быть предусмотрено прозрачное окно, обеспечивающее возможность визуального контроля учетных данных.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vMerge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В течение всего срока службы корпус и крышка БиЗ не должны терять своих оптических (прозрачность) и механических свойств.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в) Ограничение доступа внутрь БиЗ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Наличие на крышке пломбировочных устройств, в том числе с отдельной пломбируемой крышкой для доступа к рукоятке защитного автомата.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г) Необходимость шефмонтажа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Нет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д) Срок службы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 менее 20 лет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е) Диапазон рабочих температур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От - 40 до + 55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2"/>
              </w:rPr>
              <w:t>ж) Наличие заводской документации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6"/>
              </w:rPr>
              <w:t>Паспорт на БиЗ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t>з) Особенности конструкции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t>Конструктивное исполнение БиЗ должно предусматривать возможность его крепления на опору (квадратного, круглого сечения) с помощью стальной ленты, а также на стену.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Соответствие требованиям безопасности: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Сертификат безопасности</w:t>
            </w:r>
          </w:p>
        </w:tc>
      </w:tr>
    </w:tbl>
    <w:p w:rsidR="007E43A5" w:rsidRPr="00B23427" w:rsidRDefault="007E43A5" w:rsidP="00E60CB3">
      <w:pPr>
        <w:ind w:firstLine="709"/>
        <w:jc w:val="both"/>
      </w:pPr>
    </w:p>
    <w:p w:rsidR="008745A3" w:rsidRPr="00B23427" w:rsidRDefault="008745A3" w:rsidP="00E60CB3">
      <w:pPr>
        <w:ind w:firstLine="709"/>
        <w:jc w:val="both"/>
      </w:pPr>
    </w:p>
    <w:p w:rsidR="007B24DA" w:rsidRPr="00B23427" w:rsidRDefault="007B24DA" w:rsidP="00E60CB3">
      <w:pPr>
        <w:ind w:firstLine="709"/>
        <w:jc w:val="both"/>
        <w:rPr>
          <w:b/>
        </w:rPr>
      </w:pPr>
      <w:r w:rsidRPr="00B23427">
        <w:rPr>
          <w:b/>
        </w:rPr>
        <w:t>Требования к однофазным электросчетчикам в составе БиЗ.</w:t>
      </w:r>
    </w:p>
    <w:p w:rsidR="007B24DA" w:rsidRPr="00B23427" w:rsidRDefault="007B24DA" w:rsidP="00E60CB3">
      <w:pPr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5350"/>
      </w:tblGrid>
      <w:tr w:rsidR="003F00E5" w:rsidRPr="00B23427" w:rsidTr="008745A3">
        <w:trPr>
          <w:trHeight w:val="20"/>
          <w:tblHeader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4"/>
              </w:rPr>
              <w:t>Наименование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2"/>
              </w:rPr>
              <w:t>Технические требования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</w:rPr>
              <w:t>Наименование и тип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Счетчик активной электрической энергии однофазный.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Область применения и назначение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 xml:space="preserve">Измерение активной электрической энергии в однофазных двухпроводных цепях переменного </w:t>
            </w:r>
            <w:r w:rsidRPr="00B23427">
              <w:rPr>
                <w:color w:val="000000"/>
              </w:rPr>
              <w:lastRenderedPageBreak/>
              <w:t>тока.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  <w:spacing w:val="-2"/>
              </w:rPr>
              <w:lastRenderedPageBreak/>
              <w:t>Наличие сертификации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Обязательно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vMerge w:val="restar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  <w:spacing w:val="6"/>
              </w:rPr>
              <w:t>ГОСТ или ТУ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ГОСТ 31818.11-2012</w:t>
            </w:r>
          </w:p>
        </w:tc>
      </w:tr>
      <w:tr w:rsidR="003F00E5" w:rsidRPr="00B23427" w:rsidTr="003F00E5">
        <w:trPr>
          <w:trHeight w:val="70"/>
        </w:trPr>
        <w:tc>
          <w:tcPr>
            <w:tcW w:w="2361" w:type="pct"/>
            <w:vMerge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ГОСТ 31819.21-2012</w:t>
            </w:r>
          </w:p>
        </w:tc>
      </w:tr>
      <w:tr w:rsidR="003F00E5" w:rsidRPr="00B23427" w:rsidTr="003F00E5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3"/>
              </w:rPr>
              <w:t>Устройство индикации электросчетчика (дисплей):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vMerge w:val="restar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выводимая информация на русском языке, в том числе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текущие показания электросчетчика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vMerge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индикация работоспособного состояния электросчетчика</w:t>
            </w:r>
          </w:p>
        </w:tc>
      </w:tr>
      <w:tr w:rsidR="003F00E5" w:rsidRPr="00B23427" w:rsidTr="003F00E5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3"/>
              </w:rPr>
              <w:t>Обеспечение корректности и сохранности данных электросчетчика:</w:t>
            </w:r>
          </w:p>
        </w:tc>
      </w:tr>
      <w:tr w:rsidR="003F00E5" w:rsidRPr="00B23427" w:rsidTr="00ED719A">
        <w:trPr>
          <w:trHeight w:val="1426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в целях обеспечения защиты от несанкционированного доступа к данным учета и параметрам электросчетчика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кожух электросчетчика пломбируется оттиском поверительного клейма установленной формы на определенных для этого местах,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крышка зажимов пломбируется оттиском клейма энергоснабжающей организации</w:t>
            </w:r>
          </w:p>
        </w:tc>
      </w:tr>
      <w:tr w:rsidR="003F00E5" w:rsidRPr="00B23427" w:rsidTr="003F00E5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3"/>
              </w:rPr>
              <w:t>Функциональные возможности электросчетчика:</w:t>
            </w:r>
          </w:p>
        </w:tc>
      </w:tr>
      <w:tr w:rsidR="003F00E5" w:rsidRPr="00B23427" w:rsidTr="00DB726F">
        <w:trPr>
          <w:trHeight w:val="347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электросчетчик должен обеспечивать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наличие в механическом отсчетном устройстве магнитного экрана и стопора обратного хода,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наличие двух измерительных элементов, исключающих хищение методом переворота фаз,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наличие стандартного и оптического телеметрического выхода,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наличие светового индикатора работы,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устойчивость к климатическим, механическим и электромагнитным воздействиям,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наличие шунтов в качестве измерителей тока, делающих счетчик устойчивым к электромагнитным воздействиям</w:t>
            </w:r>
          </w:p>
        </w:tc>
      </w:tr>
      <w:tr w:rsidR="003F00E5" w:rsidRPr="00B23427" w:rsidTr="003F00E5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3"/>
              </w:rPr>
              <w:t xml:space="preserve">Технические данные: 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а) номинальный ток, А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5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б) максимальный ток, А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60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в) номинальное напряжение, В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230</w:t>
            </w:r>
          </w:p>
        </w:tc>
      </w:tr>
      <w:tr w:rsidR="003F00E5" w:rsidRPr="00B23427" w:rsidTr="003F00E5">
        <w:trPr>
          <w:trHeight w:val="7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Класс точности активной энергии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1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Номинальная частота сети Гц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50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Интерфейсы: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rFonts w:eastAsia="Calibri"/>
                <w:color w:val="000000"/>
              </w:rPr>
              <w:t>Наличие стандартного и оптического телеметрического выхода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Стартовый ток (чувствительность), мА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10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Количество датчиков тока, шт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2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 xml:space="preserve">Степень защиты по </w:t>
            </w:r>
            <w:r w:rsidR="00EC1317" w:rsidRPr="00B23427">
              <w:t>ГОСТ 14254-2015 (IEC 60529:2013)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IP51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Габаритные размеры (ВхШхГ), не более, мм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170 х 115 х 53</w:t>
            </w:r>
          </w:p>
        </w:tc>
      </w:tr>
      <w:tr w:rsidR="003F00E5" w:rsidRPr="00B23427" w:rsidTr="003F00E5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3"/>
              </w:rPr>
              <w:t>Характеристики надёжности: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 xml:space="preserve">Максимальный рабочий температурный диапазон 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От -40°С до +70°С (в данном температурном диапазоне электросчетчик не должен терять ни одну из своих функций).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Средняя наработка на отказ, не менее, ч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160 000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Средний срок службы, не менее, лет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30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Межповерочный интервал, не менее, лет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16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Гарантийный срок, лет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Не менее 5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</w:rPr>
              <w:t>Наличие заводской документации: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 xml:space="preserve">Паспорт (формуляр) с отметкой о первичной </w:t>
            </w:r>
            <w:r w:rsidRPr="00B23427">
              <w:rPr>
                <w:color w:val="000000"/>
              </w:rPr>
              <w:lastRenderedPageBreak/>
              <w:t>поверке или свидетельство о поверке. Руководство по эксплуатации.</w:t>
            </w:r>
          </w:p>
        </w:tc>
      </w:tr>
    </w:tbl>
    <w:p w:rsidR="006F6D57" w:rsidRPr="00B23427" w:rsidRDefault="006F6D57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Cs/>
        </w:rPr>
      </w:pPr>
      <w:r w:rsidRPr="00B23427">
        <w:rPr>
          <w:b/>
          <w:bCs/>
        </w:rPr>
        <w:lastRenderedPageBreak/>
        <w:t>Общие требования</w:t>
      </w:r>
    </w:p>
    <w:p w:rsidR="00977004" w:rsidRPr="00B23427" w:rsidRDefault="00774D3B" w:rsidP="003F00E5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Закупаемые </w:t>
      </w:r>
      <w:r w:rsidR="00461151" w:rsidRPr="00B23427">
        <w:rPr>
          <w:sz w:val="24"/>
          <w:szCs w:val="24"/>
        </w:rPr>
        <w:t xml:space="preserve">БиЗ </w:t>
      </w:r>
      <w:r w:rsidR="004D7A7C" w:rsidRPr="00B23427">
        <w:rPr>
          <w:sz w:val="24"/>
          <w:szCs w:val="24"/>
        </w:rPr>
        <w:t xml:space="preserve">должны поставляться в комплекте с </w:t>
      </w:r>
      <w:r w:rsidRPr="00B23427">
        <w:rPr>
          <w:sz w:val="24"/>
          <w:szCs w:val="24"/>
        </w:rPr>
        <w:t>соотв</w:t>
      </w:r>
      <w:r w:rsidR="004D7A7C" w:rsidRPr="00B23427">
        <w:rPr>
          <w:sz w:val="24"/>
          <w:szCs w:val="24"/>
        </w:rPr>
        <w:t xml:space="preserve">етствующим </w:t>
      </w:r>
      <w:r w:rsidR="00BC712B" w:rsidRPr="00B23427">
        <w:rPr>
          <w:sz w:val="24"/>
          <w:szCs w:val="24"/>
        </w:rPr>
        <w:t>оборудованием</w:t>
      </w:r>
      <w:r w:rsidR="004D7A7C" w:rsidRPr="00B23427">
        <w:rPr>
          <w:sz w:val="24"/>
          <w:szCs w:val="24"/>
        </w:rPr>
        <w:t xml:space="preserve">, т.е. </w:t>
      </w:r>
      <w:r w:rsidR="00BC712B" w:rsidRPr="00B23427">
        <w:rPr>
          <w:sz w:val="24"/>
          <w:szCs w:val="24"/>
        </w:rPr>
        <w:t>соединительные провода, шины, DIN рейка и автоматический выключатель</w:t>
      </w:r>
      <w:r w:rsidR="00134A6A" w:rsidRPr="00B23427">
        <w:rPr>
          <w:sz w:val="24"/>
          <w:szCs w:val="24"/>
        </w:rPr>
        <w:t xml:space="preserve"> </w:t>
      </w:r>
      <w:r w:rsidR="004D7A7C" w:rsidRPr="00B23427">
        <w:rPr>
          <w:sz w:val="24"/>
          <w:szCs w:val="24"/>
        </w:rPr>
        <w:t xml:space="preserve">должен быть смонтирован в </w:t>
      </w:r>
      <w:r w:rsidR="00461151" w:rsidRPr="00B23427">
        <w:rPr>
          <w:sz w:val="24"/>
          <w:szCs w:val="24"/>
        </w:rPr>
        <w:t xml:space="preserve">БиЗ </w:t>
      </w:r>
      <w:r w:rsidR="004D7A7C" w:rsidRPr="00B23427">
        <w:rPr>
          <w:sz w:val="24"/>
          <w:szCs w:val="24"/>
        </w:rPr>
        <w:t xml:space="preserve">и внутри </w:t>
      </w:r>
      <w:r w:rsidR="00461151" w:rsidRPr="00B23427">
        <w:rPr>
          <w:sz w:val="24"/>
          <w:szCs w:val="24"/>
        </w:rPr>
        <w:t xml:space="preserve">БиЗ </w:t>
      </w:r>
      <w:r w:rsidR="004D7A7C" w:rsidRPr="00B23427">
        <w:rPr>
          <w:sz w:val="24"/>
          <w:szCs w:val="24"/>
        </w:rPr>
        <w:t>должна быть выполнена вся необходимая проводка.</w:t>
      </w:r>
    </w:p>
    <w:p w:rsidR="00977004" w:rsidRPr="00B23427" w:rsidRDefault="000F3059" w:rsidP="003F00E5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Должно быть обеспечено наличие сертификата на </w:t>
      </w:r>
      <w:r w:rsidR="00461151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 xml:space="preserve">и его соответствие ГОСТ или ТУ на </w:t>
      </w:r>
      <w:r w:rsidR="00C23D40" w:rsidRPr="00B23427">
        <w:rPr>
          <w:sz w:val="24"/>
          <w:szCs w:val="24"/>
        </w:rPr>
        <w:t>БиЗ</w:t>
      </w:r>
      <w:r w:rsidRPr="00B23427">
        <w:rPr>
          <w:sz w:val="24"/>
          <w:szCs w:val="24"/>
        </w:rPr>
        <w:t>.</w:t>
      </w:r>
    </w:p>
    <w:p w:rsidR="007C2861" w:rsidRPr="00B23427" w:rsidRDefault="007C2861" w:rsidP="003F00E5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Счетчики электроэнергии, входящие в состав БиЗ, должны быть включены в Федеральный информационный фонд по обеспечению единства измерений, иметь действующий сертификат об утверждения типа СИ и отметку о проведении первичной/заводской поверки. Год выпуска БиЗ и счетчиков должен быть 2020, давность поверки счетчиков на момент поставки не должна превышать 6 месяцев.</w:t>
      </w:r>
    </w:p>
    <w:p w:rsidR="006F6D57" w:rsidRPr="00B23427" w:rsidRDefault="006F6D57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</w:rPr>
      </w:pPr>
      <w:r w:rsidRPr="00B23427">
        <w:rPr>
          <w:b/>
          <w:bCs/>
        </w:rPr>
        <w:t>Упаковка</w:t>
      </w:r>
      <w:r w:rsidRPr="00B23427">
        <w:rPr>
          <w:b/>
        </w:rPr>
        <w:t>, транспортирование, условия и сроки хранения</w:t>
      </w:r>
    </w:p>
    <w:p w:rsidR="00977004" w:rsidRPr="00B23427" w:rsidRDefault="006F6D57" w:rsidP="003F00E5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</w:t>
      </w:r>
      <w:r w:rsidR="00C23D40" w:rsidRPr="00B23427">
        <w:rPr>
          <w:sz w:val="24"/>
          <w:szCs w:val="24"/>
        </w:rPr>
        <w:t>ределены в договоре на поставку</w:t>
      </w:r>
      <w:r w:rsidRPr="00B23427">
        <w:rPr>
          <w:sz w:val="24"/>
          <w:szCs w:val="24"/>
        </w:rPr>
        <w:t>.</w:t>
      </w:r>
    </w:p>
    <w:p w:rsidR="007B0555" w:rsidRPr="00B23427" w:rsidRDefault="007B0555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</w:rPr>
      </w:pPr>
      <w:r w:rsidRPr="00B23427">
        <w:rPr>
          <w:b/>
          <w:bCs/>
        </w:rPr>
        <w:t>Гарантийные</w:t>
      </w:r>
      <w:r w:rsidR="00652D0D" w:rsidRPr="00B23427">
        <w:rPr>
          <w:b/>
        </w:rPr>
        <w:t xml:space="preserve"> обязательства</w:t>
      </w:r>
    </w:p>
    <w:p w:rsidR="004022AE" w:rsidRPr="00B23427" w:rsidRDefault="007B0555" w:rsidP="00134A6A">
      <w:pPr>
        <w:pStyle w:val="a3"/>
        <w:tabs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Гарантия на </w:t>
      </w:r>
      <w:r w:rsidR="00461151" w:rsidRPr="00B23427">
        <w:rPr>
          <w:sz w:val="24"/>
          <w:szCs w:val="24"/>
        </w:rPr>
        <w:t>поставляемые БиЗ</w:t>
      </w:r>
      <w:r w:rsidR="007C2861" w:rsidRPr="00B23427">
        <w:rPr>
          <w:sz w:val="24"/>
          <w:szCs w:val="24"/>
        </w:rPr>
        <w:t>, в том числе счетчики в их составе</w:t>
      </w:r>
      <w:r w:rsidR="00461151" w:rsidRPr="00B23427">
        <w:rPr>
          <w:sz w:val="24"/>
          <w:szCs w:val="24"/>
        </w:rPr>
        <w:t xml:space="preserve"> </w:t>
      </w:r>
      <w:r w:rsidRPr="00B23427">
        <w:rPr>
          <w:sz w:val="24"/>
          <w:szCs w:val="24"/>
        </w:rPr>
        <w:t xml:space="preserve">должна распространяться не менее чем на </w:t>
      </w:r>
      <w:r w:rsidR="00D5376F" w:rsidRPr="00B23427">
        <w:rPr>
          <w:sz w:val="24"/>
          <w:szCs w:val="24"/>
        </w:rPr>
        <w:t>60</w:t>
      </w:r>
      <w:r w:rsidRPr="00B23427">
        <w:rPr>
          <w:sz w:val="24"/>
          <w:szCs w:val="24"/>
        </w:rPr>
        <w:t xml:space="preserve"> месяцев. Время начала исчисления гарантийного срока – с момента его ввода в эксплуатацию. Поставщик должен за свой счет</w:t>
      </w:r>
      <w:r w:rsidR="00134A6A" w:rsidRPr="00B23427">
        <w:rPr>
          <w:sz w:val="24"/>
          <w:szCs w:val="24"/>
        </w:rPr>
        <w:t xml:space="preserve"> </w:t>
      </w:r>
      <w:r w:rsidRPr="00B23427">
        <w:rPr>
          <w:sz w:val="24"/>
          <w:szCs w:val="24"/>
        </w:rPr>
        <w:t>и</w:t>
      </w:r>
      <w:r w:rsidR="00134A6A" w:rsidRPr="00B23427">
        <w:rPr>
          <w:sz w:val="24"/>
          <w:szCs w:val="24"/>
        </w:rPr>
        <w:t xml:space="preserve"> </w:t>
      </w:r>
      <w:r w:rsidRPr="00B23427"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выхода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B0555" w:rsidRPr="00B23427" w:rsidRDefault="007B0555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</w:rPr>
      </w:pPr>
      <w:r w:rsidRPr="00B23427">
        <w:rPr>
          <w:b/>
        </w:rPr>
        <w:t xml:space="preserve">Требования к надежности и живучести </w:t>
      </w:r>
      <w:r w:rsidR="00BE3992" w:rsidRPr="00B23427">
        <w:rPr>
          <w:b/>
        </w:rPr>
        <w:t>БиЗ</w:t>
      </w:r>
    </w:p>
    <w:p w:rsidR="007B0555" w:rsidRPr="00B23427" w:rsidRDefault="00BE3992" w:rsidP="00134A6A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БиЗ </w:t>
      </w:r>
      <w:r w:rsidR="007B0555" w:rsidRPr="00B23427">
        <w:rPr>
          <w:sz w:val="24"/>
          <w:szCs w:val="24"/>
        </w:rPr>
        <w:t xml:space="preserve">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3D7752" w:rsidRPr="00B23427">
        <w:rPr>
          <w:sz w:val="24"/>
          <w:szCs w:val="24"/>
        </w:rPr>
        <w:t>2</w:t>
      </w:r>
      <w:r w:rsidR="007B0555" w:rsidRPr="00B23427">
        <w:rPr>
          <w:sz w:val="24"/>
          <w:szCs w:val="24"/>
        </w:rPr>
        <w:t>0 лет.</w:t>
      </w:r>
    </w:p>
    <w:p w:rsidR="007B0555" w:rsidRPr="00B23427" w:rsidRDefault="007B0555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</w:rPr>
      </w:pPr>
      <w:r w:rsidRPr="00B23427">
        <w:rPr>
          <w:b/>
        </w:rPr>
        <w:t>Маркировка, состав технической и эксплуатационной</w:t>
      </w:r>
      <w:r w:rsidR="00134A6A" w:rsidRPr="00B23427">
        <w:rPr>
          <w:b/>
        </w:rPr>
        <w:t xml:space="preserve"> </w:t>
      </w:r>
      <w:r w:rsidRPr="00B23427">
        <w:rPr>
          <w:b/>
        </w:rPr>
        <w:t>д</w:t>
      </w:r>
      <w:r w:rsidR="00652D0D" w:rsidRPr="00B23427">
        <w:rPr>
          <w:b/>
        </w:rPr>
        <w:t>окументации</w:t>
      </w:r>
    </w:p>
    <w:p w:rsidR="007B0555" w:rsidRPr="00B23427" w:rsidRDefault="007B0555" w:rsidP="008745A3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В комплект поставки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 xml:space="preserve">должны входить документы: </w:t>
      </w:r>
    </w:p>
    <w:p w:rsidR="007B0555" w:rsidRPr="00B23427" w:rsidRDefault="007B0555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7B0555" w:rsidRPr="00B23427" w:rsidRDefault="007B0555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7B0555" w:rsidRPr="00B23427" w:rsidRDefault="007B0555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сертификат соответствия и свидетельство о приемке на поставляемый </w:t>
      </w:r>
      <w:r w:rsidR="00BE3992" w:rsidRPr="00B23427">
        <w:rPr>
          <w:sz w:val="24"/>
          <w:szCs w:val="24"/>
        </w:rPr>
        <w:t>БиЗ</w:t>
      </w:r>
      <w:r w:rsidR="006435E1" w:rsidRPr="00B23427">
        <w:rPr>
          <w:sz w:val="24"/>
          <w:szCs w:val="24"/>
        </w:rPr>
        <w:t>,</w:t>
      </w:r>
      <w:r w:rsidRPr="00B23427">
        <w:rPr>
          <w:sz w:val="24"/>
          <w:szCs w:val="24"/>
        </w:rPr>
        <w:t xml:space="preserve"> на русском языке.</w:t>
      </w:r>
    </w:p>
    <w:p w:rsidR="007B0555" w:rsidRPr="00B23427" w:rsidRDefault="007B0555" w:rsidP="008745A3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Маркировка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 xml:space="preserve">должна соответствовать требованиям ГОСТ 18690 с дополнениями, изложенными в </w:t>
      </w:r>
      <w:r w:rsidR="00AF735F" w:rsidRPr="00B23427">
        <w:rPr>
          <w:sz w:val="24"/>
          <w:szCs w:val="24"/>
        </w:rPr>
        <w:t>ГОСТ 31946-2012</w:t>
      </w:r>
      <w:r w:rsidRPr="00B23427">
        <w:rPr>
          <w:sz w:val="24"/>
          <w:szCs w:val="24"/>
        </w:rPr>
        <w:t>. На поверхности должно быть нанесено тиснением или печатным способом:</w:t>
      </w:r>
    </w:p>
    <w:p w:rsidR="007B0555" w:rsidRPr="00B23427" w:rsidRDefault="007B0555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кодовое обозначение или товарный знак, или наименование предприятия-изготовителя;</w:t>
      </w:r>
    </w:p>
    <w:p w:rsidR="007B0555" w:rsidRPr="00B23427" w:rsidRDefault="006435E1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lastRenderedPageBreak/>
        <w:t xml:space="preserve">марка </w:t>
      </w:r>
      <w:r w:rsidR="00BE3992" w:rsidRPr="00B23427">
        <w:rPr>
          <w:sz w:val="24"/>
          <w:szCs w:val="24"/>
        </w:rPr>
        <w:t>БиЗ</w:t>
      </w:r>
      <w:r w:rsidR="007B0555" w:rsidRPr="00B23427">
        <w:rPr>
          <w:sz w:val="24"/>
          <w:szCs w:val="24"/>
        </w:rPr>
        <w:t>;</w:t>
      </w:r>
    </w:p>
    <w:p w:rsidR="007B0555" w:rsidRPr="00B23427" w:rsidRDefault="006435E1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год выпуска </w:t>
      </w:r>
      <w:r w:rsidR="00BE3992" w:rsidRPr="00B23427">
        <w:rPr>
          <w:sz w:val="24"/>
          <w:szCs w:val="24"/>
        </w:rPr>
        <w:t>БиЗ</w:t>
      </w:r>
      <w:r w:rsidR="007B0555" w:rsidRPr="00B23427">
        <w:rPr>
          <w:sz w:val="24"/>
          <w:szCs w:val="24"/>
        </w:rPr>
        <w:t>.</w:t>
      </w:r>
    </w:p>
    <w:p w:rsidR="007B0555" w:rsidRPr="00B23427" w:rsidRDefault="007B0555" w:rsidP="008745A3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Маркировка, нанесенная печатным способом, должна быть четкой и прочной.</w:t>
      </w:r>
    </w:p>
    <w:p w:rsidR="007B0555" w:rsidRPr="00B23427" w:rsidRDefault="007B0555" w:rsidP="008745A3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Отличительное обозначение и маркировка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>должны быть выполнены в соответствие с п.</w:t>
      </w:r>
      <w:r w:rsidR="008745A3" w:rsidRPr="00B23427">
        <w:rPr>
          <w:sz w:val="24"/>
          <w:szCs w:val="24"/>
        </w:rPr>
        <w:t> </w:t>
      </w:r>
      <w:r w:rsidRPr="00B23427">
        <w:rPr>
          <w:sz w:val="24"/>
          <w:szCs w:val="24"/>
        </w:rPr>
        <w:t xml:space="preserve">5.2.7. </w:t>
      </w:r>
      <w:r w:rsidR="00274300" w:rsidRPr="00B23427">
        <w:rPr>
          <w:sz w:val="24"/>
          <w:szCs w:val="24"/>
        </w:rPr>
        <w:t>ГОСТ 31946-2012</w:t>
      </w:r>
      <w:r w:rsidRPr="00B23427">
        <w:rPr>
          <w:sz w:val="24"/>
          <w:szCs w:val="24"/>
        </w:rPr>
        <w:t xml:space="preserve">. Место и способ нанесения маркировки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>должны быть указаны в конструкторской документации.</w:t>
      </w:r>
    </w:p>
    <w:p w:rsidR="007B0555" w:rsidRPr="00B23427" w:rsidRDefault="007B0555" w:rsidP="008745A3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По всем видам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>Поставщик должен предоставить полный комплект технической и эксплуатационной</w:t>
      </w:r>
      <w:r w:rsidR="00134A6A" w:rsidRPr="00B23427">
        <w:rPr>
          <w:sz w:val="24"/>
          <w:szCs w:val="24"/>
        </w:rPr>
        <w:t xml:space="preserve"> </w:t>
      </w:r>
      <w:r w:rsidRPr="00B23427">
        <w:rPr>
          <w:sz w:val="24"/>
          <w:szCs w:val="24"/>
        </w:rPr>
        <w:t>документации на русском языке, подготовленной в соответствии с ГОСТ 34.003-90, ГОСТ 34.201</w:t>
      </w:r>
      <w:r w:rsidR="008745A3" w:rsidRPr="00B23427">
        <w:rPr>
          <w:sz w:val="24"/>
          <w:szCs w:val="24"/>
        </w:rPr>
        <w:t>-</w:t>
      </w:r>
      <w:r w:rsidRPr="00B23427">
        <w:rPr>
          <w:sz w:val="24"/>
          <w:szCs w:val="24"/>
        </w:rPr>
        <w:t>89, ГОСТ 27300-87, ГОСТ 2.601-20</w:t>
      </w:r>
      <w:r w:rsidR="00274300" w:rsidRPr="00B23427">
        <w:rPr>
          <w:sz w:val="24"/>
          <w:szCs w:val="24"/>
        </w:rPr>
        <w:t>13</w:t>
      </w:r>
      <w:r w:rsidRPr="00B23427">
        <w:rPr>
          <w:sz w:val="24"/>
          <w:szCs w:val="24"/>
        </w:rPr>
        <w:t xml:space="preserve"> по монтажу, обеспечению правильной и безопасной эксплуатации, технического об</w:t>
      </w:r>
      <w:r w:rsidR="006435E1" w:rsidRPr="00B23427">
        <w:rPr>
          <w:sz w:val="24"/>
          <w:szCs w:val="24"/>
        </w:rPr>
        <w:t xml:space="preserve">служивания поставляемого </w:t>
      </w:r>
      <w:r w:rsidR="00BE3992" w:rsidRPr="00B23427">
        <w:rPr>
          <w:sz w:val="24"/>
          <w:szCs w:val="24"/>
        </w:rPr>
        <w:t>БиЗ</w:t>
      </w:r>
      <w:r w:rsidRPr="00B23427">
        <w:rPr>
          <w:sz w:val="24"/>
          <w:szCs w:val="24"/>
        </w:rPr>
        <w:t xml:space="preserve">. </w:t>
      </w:r>
    </w:p>
    <w:p w:rsidR="002F47B0" w:rsidRPr="00B23427" w:rsidRDefault="00652D0D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</w:rPr>
      </w:pPr>
      <w:r w:rsidRPr="00B23427">
        <w:rPr>
          <w:b/>
        </w:rPr>
        <w:t>Дополнительные требования</w:t>
      </w:r>
    </w:p>
    <w:p w:rsidR="002F47B0" w:rsidRPr="00B23427" w:rsidRDefault="002F47B0" w:rsidP="008745A3">
      <w:pPr>
        <w:pStyle w:val="a3"/>
        <w:numPr>
          <w:ilvl w:val="1"/>
          <w:numId w:val="33"/>
        </w:numPr>
        <w:tabs>
          <w:tab w:val="left" w:pos="-5529"/>
          <w:tab w:val="left" w:pos="-3828"/>
          <w:tab w:val="left" w:pos="1134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2F47B0" w:rsidRPr="00B23427" w:rsidRDefault="002F47B0" w:rsidP="008745A3">
      <w:pPr>
        <w:pStyle w:val="a3"/>
        <w:numPr>
          <w:ilvl w:val="1"/>
          <w:numId w:val="33"/>
        </w:numPr>
        <w:tabs>
          <w:tab w:val="left" w:pos="-5529"/>
          <w:tab w:val="left" w:pos="-3828"/>
          <w:tab w:val="left" w:pos="1134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C94961" w:rsidRPr="00B23427" w:rsidRDefault="002F47B0" w:rsidP="00134A6A">
      <w:pPr>
        <w:pStyle w:val="a3"/>
        <w:numPr>
          <w:ilvl w:val="1"/>
          <w:numId w:val="33"/>
        </w:numPr>
        <w:tabs>
          <w:tab w:val="left" w:pos="-5529"/>
          <w:tab w:val="left" w:pos="-3828"/>
          <w:tab w:val="left" w:pos="1134"/>
        </w:tabs>
        <w:ind w:left="0" w:firstLine="709"/>
        <w:jc w:val="both"/>
      </w:pPr>
      <w:r w:rsidRPr="00B23427">
        <w:rPr>
          <w:sz w:val="24"/>
          <w:szCs w:val="24"/>
        </w:rPr>
        <w:t>В стоимость должны быт</w:t>
      </w:r>
      <w:r w:rsidR="00274300" w:rsidRPr="00B23427">
        <w:rPr>
          <w:sz w:val="24"/>
          <w:szCs w:val="24"/>
        </w:rPr>
        <w:t>ь включены: доставка до склада.</w:t>
      </w:r>
    </w:p>
    <w:p w:rsidR="00C17576" w:rsidRPr="00B23427" w:rsidRDefault="00C17576" w:rsidP="00134A6A"/>
    <w:p w:rsidR="00C17576" w:rsidRPr="00B23427" w:rsidRDefault="00C17576" w:rsidP="00134A6A"/>
    <w:p w:rsidR="008745A3" w:rsidRPr="00B23427" w:rsidRDefault="008745A3" w:rsidP="00134A6A"/>
    <w:p w:rsidR="00C94961" w:rsidRPr="00B23427" w:rsidRDefault="00134A6A" w:rsidP="00134A6A">
      <w:pPr>
        <w:tabs>
          <w:tab w:val="left" w:pos="1134"/>
        </w:tabs>
        <w:rPr>
          <w:rStyle w:val="k-in"/>
        </w:rPr>
      </w:pPr>
      <w:r w:rsidRPr="00B23427">
        <w:rPr>
          <w:rStyle w:val="k-in"/>
        </w:rPr>
        <w:t>Начальник Управления учета</w:t>
      </w:r>
    </w:p>
    <w:p w:rsidR="00C94961" w:rsidRPr="00B23427" w:rsidRDefault="00C94961" w:rsidP="00134A6A">
      <w:pPr>
        <w:tabs>
          <w:tab w:val="left" w:pos="1134"/>
        </w:tabs>
        <w:rPr>
          <w:rStyle w:val="k-in"/>
        </w:rPr>
      </w:pPr>
      <w:r w:rsidRPr="00B23427">
        <w:rPr>
          <w:rStyle w:val="k-in"/>
        </w:rPr>
        <w:t>электрической энергии</w:t>
      </w:r>
      <w:r w:rsidR="00134A6A" w:rsidRPr="00B23427">
        <w:rPr>
          <w:rStyle w:val="k-in"/>
        </w:rPr>
        <w:t xml:space="preserve"> филиала</w:t>
      </w:r>
      <w:r w:rsidR="00134A6A" w:rsidRPr="00B23427">
        <w:rPr>
          <w:rStyle w:val="k-in"/>
        </w:rPr>
        <w:tab/>
      </w:r>
      <w:r w:rsidRPr="00B23427">
        <w:rPr>
          <w:rStyle w:val="k-in"/>
        </w:rPr>
        <w:tab/>
      </w:r>
      <w:r w:rsidRPr="00B23427">
        <w:rPr>
          <w:rStyle w:val="k-in"/>
        </w:rPr>
        <w:tab/>
      </w:r>
      <w:r w:rsidRPr="00B23427">
        <w:rPr>
          <w:rStyle w:val="k-in"/>
        </w:rPr>
        <w:tab/>
      </w:r>
      <w:r w:rsidRPr="00B23427">
        <w:rPr>
          <w:rStyle w:val="k-in"/>
        </w:rPr>
        <w:tab/>
      </w:r>
      <w:r w:rsidRPr="00B23427">
        <w:rPr>
          <w:rStyle w:val="k-in"/>
        </w:rPr>
        <w:tab/>
      </w:r>
      <w:r w:rsidR="00134A6A" w:rsidRPr="00B23427">
        <w:rPr>
          <w:rStyle w:val="k-in"/>
        </w:rPr>
        <w:tab/>
      </w:r>
      <w:r w:rsidRPr="00B23427">
        <w:rPr>
          <w:rStyle w:val="k-in"/>
        </w:rPr>
        <w:t>О.В. Авсеенко</w:t>
      </w:r>
    </w:p>
    <w:p w:rsidR="00C17576" w:rsidRPr="00B23427" w:rsidRDefault="00C17576" w:rsidP="00134A6A"/>
    <w:p w:rsidR="00C17576" w:rsidRPr="00B23427" w:rsidRDefault="00C17576" w:rsidP="00134A6A"/>
    <w:p w:rsidR="00C17576" w:rsidRPr="00B23427" w:rsidRDefault="00C17576" w:rsidP="00134A6A"/>
    <w:p w:rsidR="00C17576" w:rsidRPr="00B23427" w:rsidRDefault="00C17576" w:rsidP="00134A6A"/>
    <w:p w:rsidR="00C17576" w:rsidRPr="00B23427" w:rsidRDefault="00C17576" w:rsidP="00134A6A"/>
    <w:p w:rsidR="00C17576" w:rsidRPr="00B23427" w:rsidRDefault="00C17576" w:rsidP="00134A6A"/>
    <w:p w:rsidR="008745A3" w:rsidRPr="00B23427" w:rsidRDefault="008745A3" w:rsidP="00134A6A"/>
    <w:p w:rsidR="008745A3" w:rsidRPr="00B23427" w:rsidRDefault="008745A3" w:rsidP="00134A6A"/>
    <w:p w:rsidR="008745A3" w:rsidRPr="00B23427" w:rsidRDefault="008745A3" w:rsidP="00134A6A"/>
    <w:p w:rsidR="008745A3" w:rsidRPr="00B23427" w:rsidRDefault="008745A3" w:rsidP="00134A6A"/>
    <w:p w:rsidR="008745A3" w:rsidRPr="00B23427" w:rsidRDefault="008745A3" w:rsidP="00134A6A"/>
    <w:p w:rsidR="008745A3" w:rsidRPr="00B23427" w:rsidRDefault="008745A3" w:rsidP="00134A6A"/>
    <w:p w:rsidR="00C17576" w:rsidRPr="00B23427" w:rsidRDefault="00C17576" w:rsidP="00134A6A"/>
    <w:p w:rsidR="00C17576" w:rsidRPr="00B23427" w:rsidRDefault="00C17576" w:rsidP="00134A6A"/>
    <w:p w:rsidR="00C17576" w:rsidRPr="00B23427" w:rsidRDefault="00C17576" w:rsidP="00134A6A"/>
    <w:p w:rsidR="00DB517C" w:rsidRPr="00B23427" w:rsidRDefault="00DB517C" w:rsidP="00134A6A"/>
    <w:p w:rsidR="00DB517C" w:rsidRPr="00B23427" w:rsidRDefault="00DB517C" w:rsidP="00134A6A"/>
    <w:p w:rsidR="00DB517C" w:rsidRPr="00B23427" w:rsidRDefault="00DB517C" w:rsidP="00134A6A"/>
    <w:p w:rsidR="00DB517C" w:rsidRPr="00B23427" w:rsidRDefault="00DB517C" w:rsidP="00134A6A"/>
    <w:p w:rsidR="00DB517C" w:rsidRPr="00B23427" w:rsidRDefault="00DB517C" w:rsidP="00134A6A"/>
    <w:p w:rsidR="00DB517C" w:rsidRPr="00B23427" w:rsidRDefault="00DB517C" w:rsidP="00134A6A"/>
    <w:p w:rsidR="00DB517C" w:rsidRPr="00B23427" w:rsidRDefault="00DB517C" w:rsidP="00134A6A"/>
    <w:p w:rsidR="00134A6A" w:rsidRPr="00B23427" w:rsidRDefault="00134A6A" w:rsidP="00134A6A"/>
    <w:p w:rsidR="00134A6A" w:rsidRPr="00B23427" w:rsidRDefault="00134A6A" w:rsidP="00134A6A"/>
    <w:p w:rsidR="00134A6A" w:rsidRPr="00B23427" w:rsidRDefault="00134A6A" w:rsidP="00134A6A"/>
    <w:p w:rsidR="00C17576" w:rsidRPr="00B23427" w:rsidRDefault="00C17576" w:rsidP="00134A6A"/>
    <w:p w:rsidR="00A72827" w:rsidRPr="00B23427" w:rsidRDefault="001F2DB9" w:rsidP="00134A6A">
      <w:pPr>
        <w:rPr>
          <w:sz w:val="22"/>
        </w:rPr>
      </w:pPr>
      <w:r w:rsidRPr="00B23427">
        <w:rPr>
          <w:sz w:val="22"/>
        </w:rPr>
        <w:t xml:space="preserve">Исп. </w:t>
      </w:r>
      <w:r w:rsidR="00A72827" w:rsidRPr="00B23427">
        <w:rPr>
          <w:sz w:val="22"/>
        </w:rPr>
        <w:t>Сергеенков А.А.</w:t>
      </w:r>
    </w:p>
    <w:p w:rsidR="00E91380" w:rsidRPr="00134A6A" w:rsidRDefault="00A72827" w:rsidP="00134A6A">
      <w:pPr>
        <w:rPr>
          <w:sz w:val="22"/>
        </w:rPr>
      </w:pPr>
      <w:r w:rsidRPr="00B23427">
        <w:rPr>
          <w:sz w:val="22"/>
        </w:rPr>
        <w:t>(4812) 42-98-01</w:t>
      </w:r>
    </w:p>
    <w:sectPr w:rsidR="00E91380" w:rsidRPr="00134A6A" w:rsidSect="00D7508D">
      <w:headerReference w:type="default" r:id="rId8"/>
      <w:pgSz w:w="11906" w:h="16838"/>
      <w:pgMar w:top="1134" w:right="851" w:bottom="1134" w:left="1134" w:header="425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E2C" w:rsidRDefault="00EA0E2C">
      <w:r>
        <w:separator/>
      </w:r>
    </w:p>
  </w:endnote>
  <w:endnote w:type="continuationSeparator" w:id="0">
    <w:p w:rsidR="00EA0E2C" w:rsidRDefault="00EA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E2C" w:rsidRDefault="00EA0E2C">
      <w:r>
        <w:separator/>
      </w:r>
    </w:p>
  </w:footnote>
  <w:footnote w:type="continuationSeparator" w:id="0">
    <w:p w:rsidR="00EA0E2C" w:rsidRDefault="00EA0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033098"/>
      <w:docPartObj>
        <w:docPartGallery w:val="Page Numbers (Top of Page)"/>
        <w:docPartUnique/>
      </w:docPartObj>
    </w:sdtPr>
    <w:sdtEndPr/>
    <w:sdtContent>
      <w:p w:rsidR="00425C8A" w:rsidRDefault="00425C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DAF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608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20B6607"/>
    <w:multiLevelType w:val="multilevel"/>
    <w:tmpl w:val="8592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50A25"/>
    <w:multiLevelType w:val="multilevel"/>
    <w:tmpl w:val="C2EC9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75A07CE"/>
    <w:multiLevelType w:val="multilevel"/>
    <w:tmpl w:val="13DC221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E4E3A8B"/>
    <w:multiLevelType w:val="hybridMultilevel"/>
    <w:tmpl w:val="4E2C591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3675BE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24A17DF1"/>
    <w:multiLevelType w:val="multilevel"/>
    <w:tmpl w:val="91A4C3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6F1206A"/>
    <w:multiLevelType w:val="hybridMultilevel"/>
    <w:tmpl w:val="FECED144"/>
    <w:lvl w:ilvl="0" w:tplc="A282D8A0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28395C2A"/>
    <w:multiLevelType w:val="multilevel"/>
    <w:tmpl w:val="04EC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6A1B7D"/>
    <w:multiLevelType w:val="multilevel"/>
    <w:tmpl w:val="18E0BF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33449"/>
    <w:multiLevelType w:val="hybridMultilevel"/>
    <w:tmpl w:val="19D2EC70"/>
    <w:lvl w:ilvl="0" w:tplc="B0F07F6C">
      <w:start w:val="1"/>
      <w:numFmt w:val="decimal"/>
      <w:lvlText w:val="1.%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583241D"/>
    <w:multiLevelType w:val="multilevel"/>
    <w:tmpl w:val="49BA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BB62DB"/>
    <w:multiLevelType w:val="multilevel"/>
    <w:tmpl w:val="81C25CE4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76A0CEA"/>
    <w:multiLevelType w:val="multilevel"/>
    <w:tmpl w:val="50183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6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A2E4347"/>
    <w:multiLevelType w:val="hybridMultilevel"/>
    <w:tmpl w:val="47EED8AE"/>
    <w:lvl w:ilvl="0" w:tplc="2F344EE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3A811CA2"/>
    <w:multiLevelType w:val="multilevel"/>
    <w:tmpl w:val="5A14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3D273CCA"/>
    <w:multiLevelType w:val="multilevel"/>
    <w:tmpl w:val="A46894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41354141"/>
    <w:multiLevelType w:val="hybridMultilevel"/>
    <w:tmpl w:val="35DCB988"/>
    <w:lvl w:ilvl="0" w:tplc="8FB6B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3363EBE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2DA2D74"/>
    <w:multiLevelType w:val="multilevel"/>
    <w:tmpl w:val="ED4033F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41856CE"/>
    <w:multiLevelType w:val="hybridMultilevel"/>
    <w:tmpl w:val="CED2F30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7" w15:restartNumberingAfterBreak="0">
    <w:nsid w:val="5BD00E99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CAB68E7"/>
    <w:multiLevelType w:val="multilevel"/>
    <w:tmpl w:val="49DAAD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6116600A"/>
    <w:multiLevelType w:val="multilevel"/>
    <w:tmpl w:val="D37270B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2" w:hanging="1800"/>
      </w:pPr>
      <w:rPr>
        <w:rFonts w:hint="default"/>
      </w:rPr>
    </w:lvl>
  </w:abstractNum>
  <w:abstractNum w:abstractNumId="30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2" w15:restartNumberingAfterBreak="0">
    <w:nsid w:val="6D8B35D1"/>
    <w:multiLevelType w:val="hybridMultilevel"/>
    <w:tmpl w:val="860E653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1C90C6C"/>
    <w:multiLevelType w:val="hybridMultilevel"/>
    <w:tmpl w:val="79367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235DB"/>
    <w:multiLevelType w:val="multilevel"/>
    <w:tmpl w:val="892607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hint="default"/>
      </w:rPr>
    </w:lvl>
  </w:abstractNum>
  <w:abstractNum w:abstractNumId="35" w15:restartNumberingAfterBreak="0">
    <w:nsid w:val="73B37A78"/>
    <w:multiLevelType w:val="multilevel"/>
    <w:tmpl w:val="3D86B43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745D563B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A032173"/>
    <w:multiLevelType w:val="hybridMultilevel"/>
    <w:tmpl w:val="C380BDB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F2159AB"/>
    <w:multiLevelType w:val="multilevel"/>
    <w:tmpl w:val="7572FD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23"/>
  </w:num>
  <w:num w:numId="2">
    <w:abstractNumId w:val="1"/>
  </w:num>
  <w:num w:numId="3">
    <w:abstractNumId w:val="26"/>
  </w:num>
  <w:num w:numId="4">
    <w:abstractNumId w:val="9"/>
  </w:num>
  <w:num w:numId="5">
    <w:abstractNumId w:val="13"/>
  </w:num>
  <w:num w:numId="6">
    <w:abstractNumId w:val="2"/>
  </w:num>
  <w:num w:numId="7">
    <w:abstractNumId w:val="33"/>
  </w:num>
  <w:num w:numId="8">
    <w:abstractNumId w:val="12"/>
  </w:num>
  <w:num w:numId="9">
    <w:abstractNumId w:val="28"/>
  </w:num>
  <w:num w:numId="10">
    <w:abstractNumId w:val="38"/>
  </w:num>
  <w:num w:numId="11">
    <w:abstractNumId w:val="21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8"/>
  </w:num>
  <w:num w:numId="16">
    <w:abstractNumId w:val="6"/>
  </w:num>
  <w:num w:numId="17">
    <w:abstractNumId w:val="30"/>
  </w:num>
  <w:num w:numId="18">
    <w:abstractNumId w:val="16"/>
  </w:num>
  <w:num w:numId="19">
    <w:abstractNumId w:val="20"/>
  </w:num>
  <w:num w:numId="20">
    <w:abstractNumId w:val="29"/>
  </w:num>
  <w:num w:numId="21">
    <w:abstractNumId w:val="10"/>
  </w:num>
  <w:num w:numId="22">
    <w:abstractNumId w:val="19"/>
  </w:num>
  <w:num w:numId="23">
    <w:abstractNumId w:val="24"/>
  </w:num>
  <w:num w:numId="24">
    <w:abstractNumId w:val="4"/>
  </w:num>
  <w:num w:numId="25">
    <w:abstractNumId w:val="0"/>
  </w:num>
  <w:num w:numId="26">
    <w:abstractNumId w:val="36"/>
  </w:num>
  <w:num w:numId="27">
    <w:abstractNumId w:val="27"/>
  </w:num>
  <w:num w:numId="28">
    <w:abstractNumId w:val="22"/>
  </w:num>
  <w:num w:numId="29">
    <w:abstractNumId w:val="3"/>
  </w:num>
  <w:num w:numId="30">
    <w:abstractNumId w:val="17"/>
  </w:num>
  <w:num w:numId="31">
    <w:abstractNumId w:val="31"/>
  </w:num>
  <w:num w:numId="32">
    <w:abstractNumId w:val="14"/>
  </w:num>
  <w:num w:numId="33">
    <w:abstractNumId w:val="34"/>
  </w:num>
  <w:num w:numId="34">
    <w:abstractNumId w:val="32"/>
  </w:num>
  <w:num w:numId="35">
    <w:abstractNumId w:val="25"/>
  </w:num>
  <w:num w:numId="36">
    <w:abstractNumId w:val="5"/>
  </w:num>
  <w:num w:numId="37">
    <w:abstractNumId w:val="37"/>
  </w:num>
  <w:num w:numId="38">
    <w:abstractNumId w:val="7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57"/>
    <w:rsid w:val="0000102E"/>
    <w:rsid w:val="00004B26"/>
    <w:rsid w:val="00010C76"/>
    <w:rsid w:val="00014FFF"/>
    <w:rsid w:val="000208B3"/>
    <w:rsid w:val="00043158"/>
    <w:rsid w:val="000526EB"/>
    <w:rsid w:val="00075D64"/>
    <w:rsid w:val="00075E31"/>
    <w:rsid w:val="000A7B90"/>
    <w:rsid w:val="000C4700"/>
    <w:rsid w:val="000C600F"/>
    <w:rsid w:val="000D0CB1"/>
    <w:rsid w:val="000D4C3C"/>
    <w:rsid w:val="000D4D19"/>
    <w:rsid w:val="000E1BDF"/>
    <w:rsid w:val="000E43B4"/>
    <w:rsid w:val="000F14EF"/>
    <w:rsid w:val="000F15A7"/>
    <w:rsid w:val="000F3059"/>
    <w:rsid w:val="00104ED7"/>
    <w:rsid w:val="001065BD"/>
    <w:rsid w:val="001073A1"/>
    <w:rsid w:val="0010770A"/>
    <w:rsid w:val="00111DAF"/>
    <w:rsid w:val="00114BFF"/>
    <w:rsid w:val="00134A6A"/>
    <w:rsid w:val="00141E58"/>
    <w:rsid w:val="00143C6D"/>
    <w:rsid w:val="00146E09"/>
    <w:rsid w:val="001572BE"/>
    <w:rsid w:val="00162F7A"/>
    <w:rsid w:val="00164FBC"/>
    <w:rsid w:val="00165C62"/>
    <w:rsid w:val="00167FB2"/>
    <w:rsid w:val="00182B6B"/>
    <w:rsid w:val="00194620"/>
    <w:rsid w:val="001965D4"/>
    <w:rsid w:val="001B2CC7"/>
    <w:rsid w:val="001C68EF"/>
    <w:rsid w:val="001E20FA"/>
    <w:rsid w:val="001E31A2"/>
    <w:rsid w:val="001F2DB9"/>
    <w:rsid w:val="001F7F86"/>
    <w:rsid w:val="00204D42"/>
    <w:rsid w:val="0021026F"/>
    <w:rsid w:val="00212343"/>
    <w:rsid w:val="00225BCE"/>
    <w:rsid w:val="0023706F"/>
    <w:rsid w:val="002429E9"/>
    <w:rsid w:val="00245154"/>
    <w:rsid w:val="00247ECA"/>
    <w:rsid w:val="00254CAD"/>
    <w:rsid w:val="00263992"/>
    <w:rsid w:val="002655E6"/>
    <w:rsid w:val="00273563"/>
    <w:rsid w:val="00273E16"/>
    <w:rsid w:val="002742A1"/>
    <w:rsid w:val="00274300"/>
    <w:rsid w:val="002868E4"/>
    <w:rsid w:val="0029301B"/>
    <w:rsid w:val="00293042"/>
    <w:rsid w:val="002B0953"/>
    <w:rsid w:val="002B1CE2"/>
    <w:rsid w:val="002B78CD"/>
    <w:rsid w:val="002C6088"/>
    <w:rsid w:val="002D4590"/>
    <w:rsid w:val="002D7580"/>
    <w:rsid w:val="002E5306"/>
    <w:rsid w:val="002E6B67"/>
    <w:rsid w:val="002F3EB0"/>
    <w:rsid w:val="002F47B0"/>
    <w:rsid w:val="00300027"/>
    <w:rsid w:val="00305374"/>
    <w:rsid w:val="00314F2B"/>
    <w:rsid w:val="00324082"/>
    <w:rsid w:val="00324FB5"/>
    <w:rsid w:val="00327726"/>
    <w:rsid w:val="00336961"/>
    <w:rsid w:val="0034009F"/>
    <w:rsid w:val="00341478"/>
    <w:rsid w:val="003455DF"/>
    <w:rsid w:val="003547AC"/>
    <w:rsid w:val="00362A34"/>
    <w:rsid w:val="00372634"/>
    <w:rsid w:val="0037772D"/>
    <w:rsid w:val="00382B9F"/>
    <w:rsid w:val="00390F91"/>
    <w:rsid w:val="0039671A"/>
    <w:rsid w:val="003A3AC5"/>
    <w:rsid w:val="003A4F6D"/>
    <w:rsid w:val="003A76BF"/>
    <w:rsid w:val="003C5233"/>
    <w:rsid w:val="003C6C03"/>
    <w:rsid w:val="003D4F72"/>
    <w:rsid w:val="003D7752"/>
    <w:rsid w:val="003E5942"/>
    <w:rsid w:val="003F00E5"/>
    <w:rsid w:val="00400D45"/>
    <w:rsid w:val="00401C08"/>
    <w:rsid w:val="004022AE"/>
    <w:rsid w:val="00405352"/>
    <w:rsid w:val="00406F8C"/>
    <w:rsid w:val="00414C0D"/>
    <w:rsid w:val="004151E0"/>
    <w:rsid w:val="00425667"/>
    <w:rsid w:val="00425C8A"/>
    <w:rsid w:val="00432A61"/>
    <w:rsid w:val="004331DE"/>
    <w:rsid w:val="00461151"/>
    <w:rsid w:val="00470E5B"/>
    <w:rsid w:val="00477F48"/>
    <w:rsid w:val="00486F0D"/>
    <w:rsid w:val="00490264"/>
    <w:rsid w:val="004972C0"/>
    <w:rsid w:val="004A1A1B"/>
    <w:rsid w:val="004A5F74"/>
    <w:rsid w:val="004A79BA"/>
    <w:rsid w:val="004C61A6"/>
    <w:rsid w:val="004C6269"/>
    <w:rsid w:val="004C640D"/>
    <w:rsid w:val="004D0024"/>
    <w:rsid w:val="004D0815"/>
    <w:rsid w:val="004D7A7C"/>
    <w:rsid w:val="004E7FA0"/>
    <w:rsid w:val="00501FC1"/>
    <w:rsid w:val="005033C0"/>
    <w:rsid w:val="00504BAE"/>
    <w:rsid w:val="005111D7"/>
    <w:rsid w:val="00527413"/>
    <w:rsid w:val="0053279B"/>
    <w:rsid w:val="005453D3"/>
    <w:rsid w:val="00555BA3"/>
    <w:rsid w:val="00592E75"/>
    <w:rsid w:val="005A12F1"/>
    <w:rsid w:val="005C1B9C"/>
    <w:rsid w:val="005C4A57"/>
    <w:rsid w:val="005C55B7"/>
    <w:rsid w:val="005C78F1"/>
    <w:rsid w:val="005D6DD9"/>
    <w:rsid w:val="005E52D8"/>
    <w:rsid w:val="005F1E29"/>
    <w:rsid w:val="00604A8C"/>
    <w:rsid w:val="00607405"/>
    <w:rsid w:val="00611C66"/>
    <w:rsid w:val="0061564D"/>
    <w:rsid w:val="00630A3B"/>
    <w:rsid w:val="00635483"/>
    <w:rsid w:val="006435E1"/>
    <w:rsid w:val="00652D0D"/>
    <w:rsid w:val="00657860"/>
    <w:rsid w:val="00661F23"/>
    <w:rsid w:val="00664014"/>
    <w:rsid w:val="006810CF"/>
    <w:rsid w:val="00683E82"/>
    <w:rsid w:val="0068475C"/>
    <w:rsid w:val="00693C3D"/>
    <w:rsid w:val="006A0346"/>
    <w:rsid w:val="006A5C70"/>
    <w:rsid w:val="006B2F9C"/>
    <w:rsid w:val="006D278E"/>
    <w:rsid w:val="006E5FB1"/>
    <w:rsid w:val="006F1CF4"/>
    <w:rsid w:val="006F42D0"/>
    <w:rsid w:val="006F6D57"/>
    <w:rsid w:val="00703627"/>
    <w:rsid w:val="00704F9E"/>
    <w:rsid w:val="00711C06"/>
    <w:rsid w:val="00720C28"/>
    <w:rsid w:val="00731EAA"/>
    <w:rsid w:val="0073435A"/>
    <w:rsid w:val="00743433"/>
    <w:rsid w:val="00745869"/>
    <w:rsid w:val="00745FFE"/>
    <w:rsid w:val="0075176B"/>
    <w:rsid w:val="00764999"/>
    <w:rsid w:val="00774D3B"/>
    <w:rsid w:val="00796804"/>
    <w:rsid w:val="007B0555"/>
    <w:rsid w:val="007B24DA"/>
    <w:rsid w:val="007B49BA"/>
    <w:rsid w:val="007B68E9"/>
    <w:rsid w:val="007C2861"/>
    <w:rsid w:val="007C58FA"/>
    <w:rsid w:val="007D2657"/>
    <w:rsid w:val="007E43A5"/>
    <w:rsid w:val="007E46EE"/>
    <w:rsid w:val="007F4C8B"/>
    <w:rsid w:val="00824CF9"/>
    <w:rsid w:val="008272B5"/>
    <w:rsid w:val="00830EA2"/>
    <w:rsid w:val="00833F1F"/>
    <w:rsid w:val="00836853"/>
    <w:rsid w:val="00851546"/>
    <w:rsid w:val="00851FC2"/>
    <w:rsid w:val="00861846"/>
    <w:rsid w:val="00870435"/>
    <w:rsid w:val="008745A3"/>
    <w:rsid w:val="008752B1"/>
    <w:rsid w:val="00877299"/>
    <w:rsid w:val="00880799"/>
    <w:rsid w:val="00881BE8"/>
    <w:rsid w:val="0088330E"/>
    <w:rsid w:val="0088364B"/>
    <w:rsid w:val="008875E2"/>
    <w:rsid w:val="008C5031"/>
    <w:rsid w:val="008D5E9E"/>
    <w:rsid w:val="008E435B"/>
    <w:rsid w:val="008E57A3"/>
    <w:rsid w:val="008E5C92"/>
    <w:rsid w:val="008F76CF"/>
    <w:rsid w:val="00900C0D"/>
    <w:rsid w:val="009075E3"/>
    <w:rsid w:val="00916E0D"/>
    <w:rsid w:val="0092748E"/>
    <w:rsid w:val="00927906"/>
    <w:rsid w:val="009567B9"/>
    <w:rsid w:val="00965C19"/>
    <w:rsid w:val="009747DB"/>
    <w:rsid w:val="0097634E"/>
    <w:rsid w:val="00977004"/>
    <w:rsid w:val="009854E1"/>
    <w:rsid w:val="00992FC8"/>
    <w:rsid w:val="00995087"/>
    <w:rsid w:val="00997460"/>
    <w:rsid w:val="009A2D55"/>
    <w:rsid w:val="009B4332"/>
    <w:rsid w:val="009C01F7"/>
    <w:rsid w:val="009C1017"/>
    <w:rsid w:val="009C12DF"/>
    <w:rsid w:val="009E1A45"/>
    <w:rsid w:val="009E3013"/>
    <w:rsid w:val="009F6508"/>
    <w:rsid w:val="009F67E2"/>
    <w:rsid w:val="00A02CC3"/>
    <w:rsid w:val="00A060FA"/>
    <w:rsid w:val="00A1005A"/>
    <w:rsid w:val="00A11DA5"/>
    <w:rsid w:val="00A21845"/>
    <w:rsid w:val="00A22A1E"/>
    <w:rsid w:val="00A23AC0"/>
    <w:rsid w:val="00A24ED6"/>
    <w:rsid w:val="00A25C18"/>
    <w:rsid w:val="00A26ED6"/>
    <w:rsid w:val="00A37500"/>
    <w:rsid w:val="00A464E0"/>
    <w:rsid w:val="00A64D46"/>
    <w:rsid w:val="00A679E9"/>
    <w:rsid w:val="00A72827"/>
    <w:rsid w:val="00A752FE"/>
    <w:rsid w:val="00AA2EBD"/>
    <w:rsid w:val="00AA2F30"/>
    <w:rsid w:val="00AB38A7"/>
    <w:rsid w:val="00AE607E"/>
    <w:rsid w:val="00AF4A76"/>
    <w:rsid w:val="00AF54D8"/>
    <w:rsid w:val="00AF735F"/>
    <w:rsid w:val="00B06AB9"/>
    <w:rsid w:val="00B1100F"/>
    <w:rsid w:val="00B115F5"/>
    <w:rsid w:val="00B22D8F"/>
    <w:rsid w:val="00B23427"/>
    <w:rsid w:val="00B27843"/>
    <w:rsid w:val="00B3167B"/>
    <w:rsid w:val="00B33E2D"/>
    <w:rsid w:val="00B3713D"/>
    <w:rsid w:val="00B46D6C"/>
    <w:rsid w:val="00B47416"/>
    <w:rsid w:val="00B5513B"/>
    <w:rsid w:val="00B642B5"/>
    <w:rsid w:val="00B94E87"/>
    <w:rsid w:val="00BA2580"/>
    <w:rsid w:val="00BB63B0"/>
    <w:rsid w:val="00BC4086"/>
    <w:rsid w:val="00BC712B"/>
    <w:rsid w:val="00BD09DA"/>
    <w:rsid w:val="00BD3674"/>
    <w:rsid w:val="00BD7631"/>
    <w:rsid w:val="00BE0552"/>
    <w:rsid w:val="00BE3992"/>
    <w:rsid w:val="00C001EE"/>
    <w:rsid w:val="00C02F02"/>
    <w:rsid w:val="00C12CBE"/>
    <w:rsid w:val="00C15B4C"/>
    <w:rsid w:val="00C17576"/>
    <w:rsid w:val="00C23D40"/>
    <w:rsid w:val="00C37C2C"/>
    <w:rsid w:val="00C408D5"/>
    <w:rsid w:val="00C4412F"/>
    <w:rsid w:val="00C5096D"/>
    <w:rsid w:val="00C515DE"/>
    <w:rsid w:val="00C54046"/>
    <w:rsid w:val="00C56FC0"/>
    <w:rsid w:val="00C621EC"/>
    <w:rsid w:val="00C85CC0"/>
    <w:rsid w:val="00C92167"/>
    <w:rsid w:val="00C94961"/>
    <w:rsid w:val="00C97626"/>
    <w:rsid w:val="00CB0CB6"/>
    <w:rsid w:val="00CB1045"/>
    <w:rsid w:val="00CC0ECF"/>
    <w:rsid w:val="00CD4DF2"/>
    <w:rsid w:val="00CE20BC"/>
    <w:rsid w:val="00CF271F"/>
    <w:rsid w:val="00D2330F"/>
    <w:rsid w:val="00D23DDA"/>
    <w:rsid w:val="00D26295"/>
    <w:rsid w:val="00D278B5"/>
    <w:rsid w:val="00D409C9"/>
    <w:rsid w:val="00D45B68"/>
    <w:rsid w:val="00D5376F"/>
    <w:rsid w:val="00D62223"/>
    <w:rsid w:val="00D67CC8"/>
    <w:rsid w:val="00D7508D"/>
    <w:rsid w:val="00D807CD"/>
    <w:rsid w:val="00D965AD"/>
    <w:rsid w:val="00DB517C"/>
    <w:rsid w:val="00DB71AF"/>
    <w:rsid w:val="00DC0BE6"/>
    <w:rsid w:val="00DC5738"/>
    <w:rsid w:val="00DE12EB"/>
    <w:rsid w:val="00DE54C8"/>
    <w:rsid w:val="00DF0503"/>
    <w:rsid w:val="00E00D27"/>
    <w:rsid w:val="00E068FE"/>
    <w:rsid w:val="00E12EDB"/>
    <w:rsid w:val="00E43DDD"/>
    <w:rsid w:val="00E461DB"/>
    <w:rsid w:val="00E565E8"/>
    <w:rsid w:val="00E60CB3"/>
    <w:rsid w:val="00E63C82"/>
    <w:rsid w:val="00E766A6"/>
    <w:rsid w:val="00E83912"/>
    <w:rsid w:val="00E91380"/>
    <w:rsid w:val="00E91A86"/>
    <w:rsid w:val="00EA0E2C"/>
    <w:rsid w:val="00EB0000"/>
    <w:rsid w:val="00EB370C"/>
    <w:rsid w:val="00EB3A94"/>
    <w:rsid w:val="00EB5AF5"/>
    <w:rsid w:val="00EC1317"/>
    <w:rsid w:val="00EC608E"/>
    <w:rsid w:val="00ED3D14"/>
    <w:rsid w:val="00ED52AA"/>
    <w:rsid w:val="00EE181B"/>
    <w:rsid w:val="00EE2674"/>
    <w:rsid w:val="00EE62B1"/>
    <w:rsid w:val="00EF6260"/>
    <w:rsid w:val="00F04C01"/>
    <w:rsid w:val="00F142D4"/>
    <w:rsid w:val="00F32DAB"/>
    <w:rsid w:val="00F42F55"/>
    <w:rsid w:val="00F432E8"/>
    <w:rsid w:val="00F454D0"/>
    <w:rsid w:val="00F61799"/>
    <w:rsid w:val="00F7218B"/>
    <w:rsid w:val="00F75918"/>
    <w:rsid w:val="00F76E57"/>
    <w:rsid w:val="00F818A0"/>
    <w:rsid w:val="00F8406D"/>
    <w:rsid w:val="00F92462"/>
    <w:rsid w:val="00FA39F4"/>
    <w:rsid w:val="00FA486E"/>
    <w:rsid w:val="00FB111C"/>
    <w:rsid w:val="00FB188A"/>
    <w:rsid w:val="00FC13B9"/>
    <w:rsid w:val="00FC54FB"/>
    <w:rsid w:val="00FD16E9"/>
    <w:rsid w:val="00FD217D"/>
    <w:rsid w:val="00FF263E"/>
    <w:rsid w:val="00FF57FE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F1B7C-8168-40BF-AD17-0993F9B1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D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F6D57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6F6D57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F6D57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customStyle="1" w:styleId="20">
    <w:name w:val="Заголовок 2 Знак"/>
    <w:link w:val="2"/>
    <w:rsid w:val="006F6D57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val="ru-RU"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6F6D57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6F6D57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6F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F6D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6F6D57"/>
    <w:pPr>
      <w:spacing w:before="100" w:beforeAutospacing="1" w:after="100" w:afterAutospacing="1"/>
    </w:pPr>
    <w:rPr>
      <w:lang w:val="en-US" w:eastAsia="en-US"/>
    </w:rPr>
  </w:style>
  <w:style w:type="character" w:styleId="a8">
    <w:name w:val="Hyperlink"/>
    <w:uiPriority w:val="99"/>
    <w:unhideWhenUsed/>
    <w:rsid w:val="006F6D57"/>
    <w:rPr>
      <w:strike w:val="0"/>
      <w:dstrike w:val="0"/>
      <w:color w:val="005FB3"/>
      <w:u w:val="none"/>
      <w:effect w:val="none"/>
    </w:rPr>
  </w:style>
  <w:style w:type="paragraph" w:styleId="a9">
    <w:name w:val="footer"/>
    <w:basedOn w:val="a"/>
    <w:link w:val="aa"/>
    <w:uiPriority w:val="99"/>
    <w:unhideWhenUsed/>
    <w:rsid w:val="00196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965D4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34009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34009F"/>
    <w:rPr>
      <w:rFonts w:ascii="Times New Roman" w:eastAsia="Times New Roman" w:hAnsi="Times New Roman"/>
      <w:sz w:val="16"/>
      <w:szCs w:val="16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2C6088"/>
    <w:rPr>
      <w:rFonts w:ascii="Times New Roman" w:eastAsia="Times New Roman" w:hAnsi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C976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97626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E6B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B67"/>
    <w:rPr>
      <w:rFonts w:ascii="Tahoma" w:eastAsia="Times New Roman" w:hAnsi="Tahoma" w:cs="Tahoma"/>
      <w:sz w:val="16"/>
      <w:szCs w:val="16"/>
    </w:rPr>
  </w:style>
  <w:style w:type="character" w:styleId="ad">
    <w:name w:val="Strong"/>
    <w:uiPriority w:val="22"/>
    <w:qFormat/>
    <w:rsid w:val="00AF4A76"/>
    <w:rPr>
      <w:b/>
      <w:bCs/>
    </w:rPr>
  </w:style>
  <w:style w:type="paragraph" w:styleId="ae">
    <w:name w:val="Body Text"/>
    <w:aliases w:val="Основной текст таблиц,в таблице,таблицы,в таблицах, в таблице, в таблицах"/>
    <w:basedOn w:val="a"/>
    <w:link w:val="af"/>
    <w:rsid w:val="00AB38A7"/>
    <w:pPr>
      <w:spacing w:after="120"/>
    </w:pPr>
  </w:style>
  <w:style w:type="character" w:customStyle="1" w:styleId="af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e"/>
    <w:rsid w:val="00AB38A7"/>
    <w:rPr>
      <w:rFonts w:ascii="Times New Roman" w:eastAsia="Times New Roman" w:hAnsi="Times New Roman"/>
      <w:sz w:val="24"/>
      <w:szCs w:val="24"/>
    </w:rPr>
  </w:style>
  <w:style w:type="paragraph" w:styleId="af0">
    <w:name w:val="Revision"/>
    <w:hidden/>
    <w:uiPriority w:val="99"/>
    <w:semiHidden/>
    <w:rsid w:val="00B33E2D"/>
    <w:rPr>
      <w:rFonts w:ascii="Times New Roman" w:eastAsia="Times New Roman" w:hAnsi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470E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70E5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70E5B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70E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70E5B"/>
    <w:rPr>
      <w:rFonts w:ascii="Times New Roman" w:eastAsia="Times New Roman" w:hAnsi="Times New Roman"/>
      <w:b/>
      <w:bCs/>
    </w:rPr>
  </w:style>
  <w:style w:type="character" w:customStyle="1" w:styleId="k-in">
    <w:name w:val="k-in"/>
    <w:rsid w:val="00C9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16421-0057-40D3-8460-10241ED6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2579</Words>
  <Characters>14703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OORK</Company>
  <LinksUpToDate>false</LinksUpToDate>
  <CharactersWithSpaces>17248</CharactersWithSpaces>
  <SharedDoc>false</SharedDoc>
  <HLinks>
    <vt:vector size="12" baseType="variant">
      <vt:variant>
        <vt:i4>65652</vt:i4>
      </vt:variant>
      <vt:variant>
        <vt:i4>3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  <vt:variant>
        <vt:i4>65652</vt:i4>
      </vt:variant>
      <vt:variant>
        <vt:i4>0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Tolstoluckiy_RV</dc:creator>
  <cp:lastModifiedBy>Алтунина Надежда Андреевна</cp:lastModifiedBy>
  <cp:revision>6</cp:revision>
  <cp:lastPrinted>2015-09-23T10:15:00Z</cp:lastPrinted>
  <dcterms:created xsi:type="dcterms:W3CDTF">2019-10-11T10:33:00Z</dcterms:created>
  <dcterms:modified xsi:type="dcterms:W3CDTF">2019-11-27T12:50:00Z</dcterms:modified>
</cp:coreProperties>
</file>